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AD0" w:rsidRDefault="007E3AD0" w:rsidP="003014F8">
      <w:pPr>
        <w:spacing w:after="0" w:line="240" w:lineRule="auto"/>
        <w:rPr>
          <w:rFonts w:ascii="Arial Narrow" w:hAnsi="Arial Narrow"/>
          <w:sz w:val="24"/>
          <w:szCs w:val="24"/>
        </w:rPr>
      </w:pPr>
    </w:p>
    <w:p w:rsidR="00D11D81" w:rsidRPr="007E3AD0" w:rsidRDefault="007E3AD0" w:rsidP="003014F8">
      <w:pPr>
        <w:spacing w:after="0" w:line="240" w:lineRule="auto"/>
        <w:rPr>
          <w:rFonts w:ascii="Arial Narrow" w:hAnsi="Arial Narrow"/>
          <w:sz w:val="24"/>
          <w:szCs w:val="24"/>
        </w:rPr>
      </w:pPr>
      <w:r w:rsidRPr="007E3AD0">
        <w:rPr>
          <w:rFonts w:ascii="Arial Narrow" w:hAnsi="Arial Narrow"/>
          <w:sz w:val="24"/>
          <w:szCs w:val="24"/>
        </w:rPr>
        <w:t xml:space="preserve">Before </w:t>
      </w:r>
      <w:r w:rsidR="00FF534B" w:rsidRPr="007E3AD0">
        <w:rPr>
          <w:rFonts w:ascii="Arial Narrow" w:hAnsi="Arial Narrow"/>
          <w:sz w:val="24"/>
          <w:szCs w:val="24"/>
        </w:rPr>
        <w:t xml:space="preserve">obtaining consent </w:t>
      </w:r>
      <w:r w:rsidR="00273327" w:rsidRPr="007E3AD0">
        <w:rPr>
          <w:rFonts w:ascii="Arial Narrow" w:hAnsi="Arial Narrow"/>
          <w:sz w:val="24"/>
          <w:szCs w:val="24"/>
        </w:rPr>
        <w:t xml:space="preserve">for the Meningococcal ACWY vaccine for the </w:t>
      </w:r>
      <w:r w:rsidR="004B1081" w:rsidRPr="007E3AD0">
        <w:rPr>
          <w:rFonts w:ascii="Arial Narrow" w:hAnsi="Arial Narrow"/>
          <w:sz w:val="24"/>
          <w:szCs w:val="24"/>
        </w:rPr>
        <w:t>Targeted Regional WA MenW Outbreak Response</w:t>
      </w:r>
      <w:r w:rsidR="00273327" w:rsidRPr="007E3AD0">
        <w:rPr>
          <w:rFonts w:ascii="Arial Narrow" w:hAnsi="Arial Narrow"/>
          <w:sz w:val="24"/>
          <w:szCs w:val="24"/>
        </w:rPr>
        <w:t xml:space="preserve">, </w:t>
      </w:r>
      <w:r w:rsidRPr="007E3AD0">
        <w:rPr>
          <w:rFonts w:ascii="Arial Narrow" w:hAnsi="Arial Narrow"/>
          <w:sz w:val="24"/>
          <w:szCs w:val="24"/>
        </w:rPr>
        <w:t xml:space="preserve">provide </w:t>
      </w:r>
      <w:r w:rsidR="00273327" w:rsidRPr="007E3AD0">
        <w:rPr>
          <w:rFonts w:ascii="Arial Narrow" w:hAnsi="Arial Narrow"/>
          <w:sz w:val="24"/>
          <w:szCs w:val="24"/>
        </w:rPr>
        <w:t>the information sheet on the back of this page is to be used to explain the vaccine as part of the consent, and the checklist should be used to screen each person receiving the vaccine.</w:t>
      </w:r>
      <w:r w:rsidR="00A251E1" w:rsidRPr="007E3AD0">
        <w:rPr>
          <w:rFonts w:ascii="Arial Narrow" w:hAnsi="Arial Narrow"/>
          <w:b/>
          <w:sz w:val="24"/>
          <w:szCs w:val="24"/>
        </w:rPr>
        <w:tab/>
      </w:r>
    </w:p>
    <w:p w:rsidR="00CB4E7A" w:rsidRPr="007E3AD0" w:rsidRDefault="00D11D81" w:rsidP="00A251E1">
      <w:pPr>
        <w:pBdr>
          <w:bottom w:val="single" w:sz="12" w:space="1" w:color="auto"/>
        </w:pBdr>
        <w:spacing w:after="0"/>
        <w:rPr>
          <w:rFonts w:ascii="Arial Narrow" w:hAnsi="Arial Narrow" w:cs="Arial"/>
          <w:color w:val="000000"/>
          <w:sz w:val="24"/>
          <w:szCs w:val="24"/>
        </w:rPr>
      </w:pPr>
      <w:r w:rsidRPr="007E3AD0">
        <w:rPr>
          <w:rFonts w:ascii="Arial Narrow" w:hAnsi="Arial Narrow"/>
          <w:sz w:val="24"/>
          <w:szCs w:val="24"/>
        </w:rPr>
        <w:t>Reg</w:t>
      </w:r>
      <w:r w:rsidR="00CB4E7A" w:rsidRPr="007E3AD0">
        <w:rPr>
          <w:rFonts w:ascii="Arial Narrow" w:hAnsi="Arial Narrow"/>
          <w:sz w:val="24"/>
          <w:szCs w:val="24"/>
        </w:rPr>
        <w:t>ion</w:t>
      </w:r>
      <w:proofErr w:type="gramStart"/>
      <w:r w:rsidR="00CB4E7A" w:rsidRPr="007E3AD0">
        <w:rPr>
          <w:rFonts w:ascii="Arial Narrow" w:hAnsi="Arial Narrow"/>
          <w:sz w:val="24"/>
          <w:szCs w:val="24"/>
        </w:rPr>
        <w:t>:_</w:t>
      </w:r>
      <w:proofErr w:type="gramEnd"/>
      <w:r w:rsidR="00CB4E7A" w:rsidRPr="007E3AD0">
        <w:rPr>
          <w:rFonts w:ascii="Arial Narrow" w:hAnsi="Arial Narrow"/>
          <w:sz w:val="24"/>
          <w:szCs w:val="24"/>
        </w:rPr>
        <w:t>__</w:t>
      </w:r>
      <w:r w:rsidR="00A251E1" w:rsidRPr="007E3AD0">
        <w:rPr>
          <w:rFonts w:ascii="Arial Narrow" w:hAnsi="Arial Narrow"/>
          <w:sz w:val="24"/>
          <w:szCs w:val="24"/>
        </w:rPr>
        <w:t>______________</w:t>
      </w:r>
      <w:r w:rsidR="00C70740" w:rsidRPr="007E3AD0">
        <w:rPr>
          <w:rFonts w:ascii="Arial Narrow" w:hAnsi="Arial Narrow"/>
          <w:sz w:val="24"/>
          <w:szCs w:val="24"/>
        </w:rPr>
        <w:t xml:space="preserve"> </w:t>
      </w:r>
      <w:r w:rsidR="00A251E1" w:rsidRPr="007E3AD0">
        <w:rPr>
          <w:rFonts w:ascii="Arial Narrow" w:hAnsi="Arial Narrow"/>
          <w:sz w:val="24"/>
          <w:szCs w:val="24"/>
        </w:rPr>
        <w:t xml:space="preserve">        </w:t>
      </w:r>
      <w:r w:rsidRPr="007E3AD0">
        <w:rPr>
          <w:rFonts w:ascii="Arial Narrow" w:hAnsi="Arial Narrow"/>
          <w:sz w:val="24"/>
          <w:szCs w:val="24"/>
        </w:rPr>
        <w:t>Community:</w:t>
      </w:r>
      <w:r w:rsidR="00CB4E7A" w:rsidRPr="007E3AD0">
        <w:rPr>
          <w:rFonts w:ascii="Arial Narrow" w:hAnsi="Arial Narrow"/>
          <w:sz w:val="24"/>
          <w:szCs w:val="24"/>
        </w:rPr>
        <w:t>_____</w:t>
      </w:r>
      <w:r w:rsidR="00251072" w:rsidRPr="007E3AD0">
        <w:rPr>
          <w:rFonts w:ascii="Arial Narrow" w:hAnsi="Arial Narrow"/>
          <w:sz w:val="24"/>
          <w:szCs w:val="24"/>
        </w:rPr>
        <w:t>_</w:t>
      </w:r>
      <w:r w:rsidR="00CB4E7A" w:rsidRPr="007E3AD0">
        <w:rPr>
          <w:rFonts w:ascii="Arial Narrow" w:hAnsi="Arial Narrow"/>
          <w:sz w:val="24"/>
          <w:szCs w:val="24"/>
        </w:rPr>
        <w:t>_______________</w:t>
      </w:r>
      <w:r w:rsidRPr="007E3AD0">
        <w:rPr>
          <w:rFonts w:ascii="Arial Narrow" w:hAnsi="Arial Narrow"/>
          <w:sz w:val="24"/>
          <w:szCs w:val="24"/>
        </w:rPr>
        <w:t xml:space="preserve">  </w:t>
      </w:r>
    </w:p>
    <w:p w:rsidR="00273327" w:rsidRPr="007E3AD0" w:rsidRDefault="00CB4E7A" w:rsidP="00273327">
      <w:pPr>
        <w:spacing w:after="0"/>
        <w:rPr>
          <w:rFonts w:ascii="Arial Narrow" w:hAnsi="Arial Narrow" w:cs="Arial"/>
          <w:b/>
          <w:sz w:val="24"/>
          <w:szCs w:val="24"/>
        </w:rPr>
      </w:pPr>
      <w:r w:rsidRPr="007E3AD0">
        <w:rPr>
          <w:rFonts w:ascii="Arial Narrow" w:hAnsi="Arial Narrow" w:cs="Arial"/>
          <w:b/>
          <w:sz w:val="24"/>
          <w:szCs w:val="24"/>
        </w:rPr>
        <w:t xml:space="preserve">Check List Prior to </w:t>
      </w:r>
      <w:r w:rsidR="00A251E1" w:rsidRPr="007E3AD0">
        <w:rPr>
          <w:rFonts w:ascii="Arial Narrow" w:hAnsi="Arial Narrow" w:cs="Arial"/>
          <w:b/>
          <w:sz w:val="24"/>
          <w:szCs w:val="24"/>
        </w:rPr>
        <w:t>vaccination</w:t>
      </w:r>
      <w:r w:rsidR="005345C8" w:rsidRPr="007E3AD0">
        <w:rPr>
          <w:rFonts w:ascii="Arial Narrow" w:hAnsi="Arial Narrow" w:cs="Arial"/>
          <w:b/>
          <w:sz w:val="24"/>
          <w:szCs w:val="24"/>
        </w:rPr>
        <w:t>:</w:t>
      </w:r>
    </w:p>
    <w:p w:rsidR="00D11D81" w:rsidRPr="007E3AD0" w:rsidRDefault="00A251E1" w:rsidP="00273327">
      <w:pPr>
        <w:pStyle w:val="ListParagraph"/>
        <w:numPr>
          <w:ilvl w:val="0"/>
          <w:numId w:val="3"/>
        </w:numPr>
        <w:rPr>
          <w:rFonts w:ascii="Arial Narrow" w:hAnsi="Arial Narrow" w:cs="Arial"/>
          <w:sz w:val="24"/>
          <w:szCs w:val="24"/>
        </w:rPr>
      </w:pPr>
      <w:r w:rsidRPr="007E3AD0">
        <w:rPr>
          <w:rFonts w:ascii="Arial Narrow" w:hAnsi="Arial Narrow" w:cs="Arial"/>
          <w:sz w:val="24"/>
          <w:szCs w:val="24"/>
        </w:rPr>
        <w:t xml:space="preserve">Check vaccination history </w:t>
      </w:r>
      <w:r w:rsidR="00CC329A">
        <w:rPr>
          <w:rFonts w:ascii="Arial Narrow" w:hAnsi="Arial Narrow" w:cs="Arial"/>
          <w:sz w:val="24"/>
          <w:szCs w:val="24"/>
        </w:rPr>
        <w:t xml:space="preserve">on </w:t>
      </w:r>
      <w:r w:rsidRPr="007E3AD0">
        <w:rPr>
          <w:rFonts w:ascii="Arial Narrow" w:hAnsi="Arial Narrow" w:cs="Arial"/>
          <w:sz w:val="24"/>
          <w:szCs w:val="24"/>
        </w:rPr>
        <w:t>AIR</w:t>
      </w:r>
      <w:r w:rsidR="00EB22F9" w:rsidRPr="007E3AD0">
        <w:rPr>
          <w:rFonts w:ascii="Arial Narrow" w:hAnsi="Arial Narrow" w:cs="Arial"/>
          <w:sz w:val="24"/>
          <w:szCs w:val="24"/>
        </w:rPr>
        <w:t>.</w:t>
      </w:r>
      <w:r w:rsidR="005345C8" w:rsidRPr="007E3AD0">
        <w:rPr>
          <w:rFonts w:ascii="Arial Narrow" w:hAnsi="Arial Narrow" w:cs="Arial"/>
          <w:sz w:val="24"/>
          <w:szCs w:val="24"/>
        </w:rPr>
        <w:t xml:space="preserve"> NB if previously given </w:t>
      </w:r>
      <w:proofErr w:type="spellStart"/>
      <w:r w:rsidR="005345C8" w:rsidRPr="007E3AD0">
        <w:rPr>
          <w:rFonts w:ascii="Arial Narrow" w:hAnsi="Arial Narrow" w:cs="Arial"/>
          <w:sz w:val="24"/>
          <w:szCs w:val="24"/>
        </w:rPr>
        <w:t>Menitorix</w:t>
      </w:r>
      <w:proofErr w:type="spellEnd"/>
      <w:r w:rsidR="007E3AD0">
        <w:rPr>
          <w:rFonts w:ascii="Arial Narrow" w:hAnsi="Arial Narrow" w:cs="Arial"/>
          <w:sz w:val="24"/>
          <w:szCs w:val="24"/>
        </w:rPr>
        <w:t>®</w:t>
      </w:r>
      <w:r w:rsidR="005345C8" w:rsidRPr="007E3AD0">
        <w:rPr>
          <w:rFonts w:ascii="Arial Narrow" w:hAnsi="Arial Narrow" w:cs="Arial"/>
          <w:sz w:val="24"/>
          <w:szCs w:val="24"/>
        </w:rPr>
        <w:t xml:space="preserve"> vaccine there should be a 4 week interval before giving </w:t>
      </w:r>
      <w:proofErr w:type="spellStart"/>
      <w:r w:rsidR="005345C8" w:rsidRPr="007E3AD0">
        <w:rPr>
          <w:rFonts w:ascii="Arial Narrow" w:hAnsi="Arial Narrow" w:cs="Arial"/>
          <w:sz w:val="24"/>
          <w:szCs w:val="24"/>
        </w:rPr>
        <w:t>Menveo</w:t>
      </w:r>
      <w:proofErr w:type="spellEnd"/>
      <w:r w:rsidR="007E3AD0">
        <w:rPr>
          <w:rFonts w:ascii="Arial Narrow" w:hAnsi="Arial Narrow" w:cs="Arial"/>
          <w:sz w:val="24"/>
          <w:szCs w:val="24"/>
        </w:rPr>
        <w:t>® or NIME</w:t>
      </w:r>
      <w:r w:rsidR="007E3AD0" w:rsidRPr="007E3AD0">
        <w:rPr>
          <w:rFonts w:ascii="Arial Narrow" w:hAnsi="Arial Narrow" w:cs="Arial"/>
          <w:sz w:val="24"/>
          <w:szCs w:val="24"/>
        </w:rPr>
        <w:t>NRIX</w:t>
      </w:r>
      <w:r w:rsidR="007E3AD0">
        <w:rPr>
          <w:rFonts w:ascii="Arial Narrow" w:hAnsi="Arial Narrow" w:cs="Arial"/>
          <w:sz w:val="24"/>
          <w:szCs w:val="24"/>
        </w:rPr>
        <w:t>®</w:t>
      </w:r>
      <w:r w:rsidR="005345C8" w:rsidRPr="007E3AD0">
        <w:rPr>
          <w:rFonts w:ascii="Arial Narrow" w:hAnsi="Arial Narrow" w:cs="Arial"/>
          <w:sz w:val="24"/>
          <w:szCs w:val="24"/>
        </w:rPr>
        <w:t>.</w:t>
      </w:r>
    </w:p>
    <w:p w:rsidR="00F705C6" w:rsidRPr="007E3AD0" w:rsidRDefault="00A251E1" w:rsidP="00D11D81">
      <w:pPr>
        <w:pStyle w:val="ListParagraph"/>
        <w:numPr>
          <w:ilvl w:val="0"/>
          <w:numId w:val="3"/>
        </w:numPr>
        <w:rPr>
          <w:rFonts w:ascii="Arial Narrow" w:hAnsi="Arial Narrow" w:cs="Arial"/>
          <w:sz w:val="24"/>
          <w:szCs w:val="24"/>
        </w:rPr>
      </w:pPr>
      <w:r w:rsidRPr="007E3AD0">
        <w:rPr>
          <w:rFonts w:ascii="Arial Narrow" w:hAnsi="Arial Narrow" w:cs="Arial"/>
          <w:sz w:val="24"/>
          <w:szCs w:val="24"/>
        </w:rPr>
        <w:t xml:space="preserve">Check which vaccine to use: </w:t>
      </w:r>
      <w:proofErr w:type="spellStart"/>
      <w:r w:rsidRPr="007E3AD0">
        <w:rPr>
          <w:rFonts w:ascii="Arial Narrow" w:hAnsi="Arial Narrow" w:cs="Arial"/>
          <w:sz w:val="24"/>
          <w:szCs w:val="24"/>
        </w:rPr>
        <w:t>Menveo</w:t>
      </w:r>
      <w:proofErr w:type="spellEnd"/>
      <w:r w:rsidRPr="007E3AD0">
        <w:rPr>
          <w:rFonts w:ascii="Arial Narrow" w:hAnsi="Arial Narrow" w:cs="Arial"/>
          <w:sz w:val="24"/>
          <w:szCs w:val="24"/>
        </w:rPr>
        <w:t xml:space="preserve"> for children </w:t>
      </w:r>
      <w:r w:rsidR="00F705C6" w:rsidRPr="007E3AD0">
        <w:rPr>
          <w:rFonts w:ascii="Arial Narrow" w:hAnsi="Arial Narrow" w:cs="Arial"/>
          <w:sz w:val="24"/>
          <w:szCs w:val="24"/>
        </w:rPr>
        <w:t>less than</w:t>
      </w:r>
      <w:r w:rsidRPr="007E3AD0">
        <w:rPr>
          <w:rFonts w:ascii="Arial Narrow" w:hAnsi="Arial Narrow" w:cs="Arial"/>
          <w:sz w:val="24"/>
          <w:szCs w:val="24"/>
        </w:rPr>
        <w:t xml:space="preserve"> 12 months</w:t>
      </w:r>
      <w:r w:rsidR="00F705C6" w:rsidRPr="007E3AD0">
        <w:rPr>
          <w:rFonts w:ascii="Arial Narrow" w:hAnsi="Arial Narrow" w:cs="Arial"/>
          <w:sz w:val="24"/>
          <w:szCs w:val="24"/>
        </w:rPr>
        <w:t xml:space="preserve"> (or if completing a course of </w:t>
      </w:r>
      <w:proofErr w:type="spellStart"/>
      <w:r w:rsidR="00F705C6" w:rsidRPr="007E3AD0">
        <w:rPr>
          <w:rFonts w:ascii="Arial Narrow" w:hAnsi="Arial Narrow" w:cs="Arial"/>
          <w:sz w:val="24"/>
          <w:szCs w:val="24"/>
        </w:rPr>
        <w:t>Menveo</w:t>
      </w:r>
      <w:proofErr w:type="spellEnd"/>
      <w:r w:rsidR="00F705C6" w:rsidRPr="007E3AD0">
        <w:rPr>
          <w:rFonts w:ascii="Arial Narrow" w:hAnsi="Arial Narrow" w:cs="Arial"/>
          <w:sz w:val="24"/>
          <w:szCs w:val="24"/>
        </w:rPr>
        <w:t>)</w:t>
      </w:r>
      <w:r w:rsidR="0088447F" w:rsidRPr="007E3AD0">
        <w:rPr>
          <w:rFonts w:ascii="Arial Narrow" w:hAnsi="Arial Narrow" w:cs="Arial"/>
          <w:sz w:val="24"/>
          <w:szCs w:val="24"/>
        </w:rPr>
        <w:t xml:space="preserve">. </w:t>
      </w:r>
      <w:r w:rsidR="007E3AD0" w:rsidRPr="007E3AD0">
        <w:rPr>
          <w:rFonts w:ascii="Arial Narrow" w:hAnsi="Arial Narrow" w:cs="Arial"/>
          <w:sz w:val="24"/>
          <w:szCs w:val="24"/>
        </w:rPr>
        <w:t xml:space="preserve">NIMENRIX </w:t>
      </w:r>
      <w:r w:rsidRPr="007E3AD0">
        <w:rPr>
          <w:rFonts w:ascii="Arial Narrow" w:hAnsi="Arial Narrow" w:cs="Arial"/>
          <w:sz w:val="24"/>
          <w:szCs w:val="24"/>
        </w:rPr>
        <w:t>for all people 12 months and older</w:t>
      </w:r>
      <w:r w:rsidR="008E031B" w:rsidRPr="007E3AD0">
        <w:rPr>
          <w:rFonts w:ascii="Arial Narrow" w:hAnsi="Arial Narrow" w:cs="Arial"/>
          <w:sz w:val="24"/>
          <w:szCs w:val="24"/>
        </w:rPr>
        <w:t>.</w:t>
      </w:r>
      <w:r w:rsidR="00F705C6" w:rsidRPr="007E3AD0">
        <w:rPr>
          <w:rFonts w:ascii="Arial Narrow" w:hAnsi="Arial Narrow" w:cs="Arial"/>
          <w:sz w:val="24"/>
          <w:szCs w:val="24"/>
        </w:rPr>
        <w:t xml:space="preserve"> Refer to the October 2017 Meningococcal Dosage Schedule</w:t>
      </w:r>
      <w:r w:rsidR="0065671E" w:rsidRPr="007E3AD0">
        <w:rPr>
          <w:rFonts w:ascii="Arial Narrow" w:hAnsi="Arial Narrow" w:cs="Arial"/>
          <w:sz w:val="24"/>
          <w:szCs w:val="24"/>
        </w:rPr>
        <w:t>.</w:t>
      </w:r>
    </w:p>
    <w:p w:rsidR="00DC7D80" w:rsidRPr="007E3AD0" w:rsidRDefault="00DC7D80" w:rsidP="00DC7D80">
      <w:pPr>
        <w:pStyle w:val="ListParagraph"/>
        <w:ind w:left="0"/>
        <w:rPr>
          <w:rFonts w:ascii="Arial Narrow" w:hAnsi="Arial Narrow" w:cs="Arial"/>
          <w:sz w:val="24"/>
          <w:szCs w:val="24"/>
        </w:rPr>
      </w:pPr>
      <w:r w:rsidRPr="007E3AD0">
        <w:rPr>
          <w:rFonts w:ascii="Arial Narrow" w:hAnsi="Arial Narrow"/>
          <w:b/>
          <w:sz w:val="24"/>
          <w:szCs w:val="24"/>
        </w:rPr>
        <w:t xml:space="preserve">Is the person receiving the </w:t>
      </w:r>
      <w:proofErr w:type="gramStart"/>
      <w:r w:rsidRPr="007E3AD0">
        <w:rPr>
          <w:rFonts w:ascii="Arial Narrow" w:hAnsi="Arial Narrow"/>
          <w:b/>
          <w:sz w:val="24"/>
          <w:szCs w:val="24"/>
        </w:rPr>
        <w:t>vaccine:</w:t>
      </w:r>
      <w:proofErr w:type="gramEnd"/>
      <w:r w:rsidRPr="007E3AD0">
        <w:rPr>
          <w:rFonts w:ascii="Arial Narrow" w:hAnsi="Arial Narrow" w:cs="Arial"/>
          <w:sz w:val="24"/>
          <w:szCs w:val="24"/>
        </w:rPr>
        <w:t xml:space="preserve"> </w:t>
      </w:r>
    </w:p>
    <w:p w:rsidR="0065671E" w:rsidRPr="007E3AD0" w:rsidRDefault="0065671E" w:rsidP="0065671E">
      <w:pPr>
        <w:pStyle w:val="ListParagraph"/>
        <w:numPr>
          <w:ilvl w:val="0"/>
          <w:numId w:val="3"/>
        </w:numPr>
        <w:rPr>
          <w:rFonts w:ascii="Arial Narrow" w:hAnsi="Arial Narrow" w:cs="Arial"/>
          <w:sz w:val="24"/>
          <w:szCs w:val="24"/>
        </w:rPr>
      </w:pPr>
      <w:r w:rsidRPr="007E3AD0">
        <w:rPr>
          <w:rFonts w:ascii="Arial Narrow" w:hAnsi="Arial Narrow" w:cs="Arial"/>
          <w:sz w:val="24"/>
          <w:szCs w:val="24"/>
        </w:rPr>
        <w:t>unwell today with a fever &gt;38 degrees</w:t>
      </w:r>
      <w:r w:rsidR="00DC7D80" w:rsidRPr="007E3AD0">
        <w:rPr>
          <w:rFonts w:ascii="Arial Narrow" w:hAnsi="Arial Narrow" w:cs="Arial"/>
          <w:sz w:val="24"/>
          <w:szCs w:val="24"/>
        </w:rPr>
        <w:t xml:space="preserve">  </w:t>
      </w:r>
    </w:p>
    <w:p w:rsidR="00251072" w:rsidRPr="007E3AD0" w:rsidRDefault="007E3AD0" w:rsidP="00AE2340">
      <w:pPr>
        <w:pStyle w:val="ListParagraph"/>
        <w:numPr>
          <w:ilvl w:val="0"/>
          <w:numId w:val="3"/>
        </w:numPr>
        <w:rPr>
          <w:rFonts w:ascii="Arial Narrow" w:hAnsi="Arial Narrow" w:cs="Arial"/>
          <w:sz w:val="24"/>
          <w:szCs w:val="24"/>
        </w:rPr>
      </w:pPr>
      <w:r w:rsidRPr="007E3AD0">
        <w:rPr>
          <w:rFonts w:ascii="Arial Narrow" w:hAnsi="Arial Narrow" w:cs="Arial"/>
          <w:b/>
          <w:sz w:val="24"/>
          <w:szCs w:val="24"/>
        </w:rPr>
        <w:t xml:space="preserve">ALLERGIC </w:t>
      </w:r>
      <w:r w:rsidR="0065671E" w:rsidRPr="007E3AD0">
        <w:rPr>
          <w:rFonts w:ascii="Arial Narrow" w:hAnsi="Arial Narrow" w:cs="Arial"/>
          <w:sz w:val="24"/>
          <w:szCs w:val="24"/>
        </w:rPr>
        <w:t>to any component of the vaccine or history of reaction to vaccinations</w:t>
      </w:r>
      <w:r w:rsidR="00DC7D80" w:rsidRPr="007E3AD0">
        <w:rPr>
          <w:rFonts w:ascii="Arial Narrow" w:hAnsi="Arial Narrow" w:cs="Arial"/>
          <w:sz w:val="24"/>
          <w:szCs w:val="24"/>
        </w:rPr>
        <w:t xml:space="preserve"> </w:t>
      </w:r>
    </w:p>
    <w:p w:rsidR="00251072" w:rsidRPr="007E3AD0" w:rsidRDefault="0065671E" w:rsidP="00AE2340">
      <w:pPr>
        <w:pStyle w:val="ListParagraph"/>
        <w:numPr>
          <w:ilvl w:val="0"/>
          <w:numId w:val="3"/>
        </w:numPr>
        <w:rPr>
          <w:rFonts w:ascii="Arial Narrow" w:hAnsi="Arial Narrow" w:cs="Arial"/>
          <w:sz w:val="24"/>
          <w:szCs w:val="24"/>
        </w:rPr>
      </w:pPr>
      <w:r w:rsidRPr="007E3AD0">
        <w:rPr>
          <w:rFonts w:ascii="Arial Narrow" w:hAnsi="Arial Narrow" w:cs="Arial"/>
          <w:sz w:val="24"/>
          <w:szCs w:val="24"/>
        </w:rPr>
        <w:t xml:space="preserve">has a chronic illness (discuss with nurse as may need additional doses) </w:t>
      </w:r>
    </w:p>
    <w:p w:rsidR="0065671E" w:rsidRPr="007E3AD0" w:rsidRDefault="0065671E" w:rsidP="00251072">
      <w:pPr>
        <w:pStyle w:val="ListParagraph"/>
        <w:numPr>
          <w:ilvl w:val="0"/>
          <w:numId w:val="3"/>
        </w:numPr>
        <w:rPr>
          <w:rFonts w:ascii="Arial Narrow" w:hAnsi="Arial Narrow" w:cs="Arial"/>
          <w:sz w:val="24"/>
          <w:szCs w:val="24"/>
        </w:rPr>
      </w:pPr>
      <w:r w:rsidRPr="007E3AD0">
        <w:rPr>
          <w:rFonts w:ascii="Arial Narrow" w:hAnsi="Arial Narrow" w:cs="Arial"/>
          <w:sz w:val="24"/>
          <w:szCs w:val="24"/>
        </w:rPr>
        <w:t>has a bleeding disorder: may develop haematomas at IM injection site</w:t>
      </w:r>
      <w:r w:rsidR="00DC7D80" w:rsidRPr="007E3AD0">
        <w:rPr>
          <w:rFonts w:ascii="Arial Narrow" w:hAnsi="Arial Narrow" w:cs="Arial"/>
          <w:b/>
          <w:sz w:val="24"/>
          <w:szCs w:val="24"/>
        </w:rPr>
        <w:t xml:space="preserve"> </w:t>
      </w:r>
    </w:p>
    <w:p w:rsidR="00251072" w:rsidRPr="007E3AD0" w:rsidRDefault="0065671E" w:rsidP="00DC7D80">
      <w:pPr>
        <w:pStyle w:val="ListParagraph"/>
        <w:numPr>
          <w:ilvl w:val="0"/>
          <w:numId w:val="3"/>
        </w:numPr>
        <w:rPr>
          <w:rFonts w:ascii="Arial Narrow" w:hAnsi="Arial Narrow" w:cs="Arial"/>
          <w:sz w:val="24"/>
          <w:szCs w:val="24"/>
        </w:rPr>
      </w:pPr>
      <w:r w:rsidRPr="007E3AD0">
        <w:rPr>
          <w:rFonts w:ascii="Arial Narrow" w:hAnsi="Arial Narrow" w:cs="Arial"/>
          <w:sz w:val="24"/>
          <w:szCs w:val="24"/>
        </w:rPr>
        <w:t>Pregnant:</w:t>
      </w:r>
      <w:r w:rsidR="00DC7D80" w:rsidRPr="007E3AD0">
        <w:rPr>
          <w:rFonts w:ascii="Arial Narrow" w:hAnsi="Arial Narrow" w:cs="Arial"/>
          <w:b/>
          <w:sz w:val="24"/>
          <w:szCs w:val="24"/>
        </w:rPr>
        <w:tab/>
      </w:r>
    </w:p>
    <w:p w:rsidR="005B090A" w:rsidRPr="007E3AD0" w:rsidRDefault="00DC7D80" w:rsidP="00251072">
      <w:pPr>
        <w:pStyle w:val="ListParagraph"/>
        <w:rPr>
          <w:rFonts w:ascii="Arial Narrow" w:hAnsi="Arial Narrow" w:cs="Arial"/>
          <w:sz w:val="24"/>
          <w:szCs w:val="24"/>
        </w:rPr>
      </w:pPr>
      <w:r w:rsidRPr="007E3AD0">
        <w:rPr>
          <w:rFonts w:ascii="Arial Narrow" w:hAnsi="Arial Narrow" w:cs="Arial"/>
          <w:sz w:val="24"/>
          <w:szCs w:val="24"/>
        </w:rPr>
        <w:t xml:space="preserve">Use in Pregnancy and Breastfeeding.  </w:t>
      </w:r>
      <w:r w:rsidR="0065671E" w:rsidRPr="007E3AD0">
        <w:rPr>
          <w:rFonts w:ascii="Arial Narrow" w:hAnsi="Arial Narrow" w:cs="Arial"/>
          <w:sz w:val="24"/>
          <w:szCs w:val="24"/>
        </w:rPr>
        <w:t>There is limited experience using MenACWY vaccines in pregnant women. Studies in animals with NIMENRIX brand MenACWY vaccine do not indicate direct or indirect harmful effects with respect to pregnancy, embryo/foetal development, parturition or post-natal development. Still, MenACWY vaccines should be used during pregnancy only when clearly needed, i.e. if the patient is thought to be at increased risk of meningococcal disease, such as living in the communities that are part of the Targeted Regional WA MenW Outbreak Response, and the possible advantages outweigh the potential risks for the foetus.  Breast feeding women can be offered the vaccination.</w:t>
      </w:r>
    </w:p>
    <w:p w:rsidR="00273327" w:rsidRPr="007E3AD0" w:rsidRDefault="00273327" w:rsidP="00273327">
      <w:pPr>
        <w:pStyle w:val="ListParagraph"/>
        <w:rPr>
          <w:rFonts w:ascii="Arial Narrow" w:hAnsi="Arial Narrow" w:cs="Arial"/>
          <w:sz w:val="24"/>
          <w:szCs w:val="24"/>
        </w:rPr>
      </w:pPr>
    </w:p>
    <w:tbl>
      <w:tblPr>
        <w:tblStyle w:val="TableGrid"/>
        <w:tblW w:w="15877" w:type="dxa"/>
        <w:tblInd w:w="-318" w:type="dxa"/>
        <w:tblLayout w:type="fixed"/>
        <w:tblLook w:val="04A0" w:firstRow="1" w:lastRow="0" w:firstColumn="1" w:lastColumn="0" w:noHBand="0" w:noVBand="1"/>
      </w:tblPr>
      <w:tblGrid>
        <w:gridCol w:w="1209"/>
        <w:gridCol w:w="2160"/>
        <w:gridCol w:w="1876"/>
        <w:gridCol w:w="1385"/>
        <w:gridCol w:w="1417"/>
        <w:gridCol w:w="1876"/>
        <w:gridCol w:w="1843"/>
        <w:gridCol w:w="1560"/>
        <w:gridCol w:w="1417"/>
        <w:gridCol w:w="1134"/>
      </w:tblGrid>
      <w:tr w:rsidR="004B1081" w:rsidRPr="007E3AD0" w:rsidTr="004B1081">
        <w:tc>
          <w:tcPr>
            <w:tcW w:w="1209" w:type="dxa"/>
            <w:shd w:val="clear" w:color="auto" w:fill="D9D9D9" w:themeFill="background1" w:themeFillShade="D9"/>
          </w:tcPr>
          <w:p w:rsidR="004B1081" w:rsidRPr="007E3AD0" w:rsidRDefault="004B1081" w:rsidP="004B1081">
            <w:pPr>
              <w:rPr>
                <w:rFonts w:ascii="Arial Narrow" w:hAnsi="Arial Narrow" w:cs="Arial"/>
                <w:b/>
                <w:color w:val="000000"/>
                <w:sz w:val="20"/>
                <w:szCs w:val="20"/>
              </w:rPr>
            </w:pPr>
            <w:r w:rsidRPr="007E3AD0">
              <w:rPr>
                <w:rFonts w:ascii="Arial Narrow" w:hAnsi="Arial Narrow" w:cs="Arial"/>
                <w:b/>
                <w:color w:val="000000"/>
                <w:sz w:val="20"/>
                <w:szCs w:val="20"/>
              </w:rPr>
              <w:t xml:space="preserve">House Number </w:t>
            </w:r>
            <w:r w:rsidRPr="007E3AD0">
              <w:rPr>
                <w:rFonts w:ascii="Arial Narrow" w:hAnsi="Arial Narrow" w:cs="Arial"/>
                <w:b/>
                <w:color w:val="000000"/>
                <w:sz w:val="16"/>
                <w:szCs w:val="16"/>
              </w:rPr>
              <w:t>(or community if from another community)</w:t>
            </w:r>
          </w:p>
        </w:tc>
        <w:tc>
          <w:tcPr>
            <w:tcW w:w="2160" w:type="dxa"/>
          </w:tcPr>
          <w:p w:rsidR="004B1081" w:rsidRPr="007E3AD0" w:rsidRDefault="004B1081" w:rsidP="00D11D81">
            <w:pPr>
              <w:rPr>
                <w:rFonts w:ascii="Arial Narrow" w:hAnsi="Arial Narrow" w:cs="Arial"/>
                <w:b/>
                <w:color w:val="000000"/>
                <w:sz w:val="20"/>
                <w:szCs w:val="20"/>
              </w:rPr>
            </w:pPr>
            <w:r w:rsidRPr="007E3AD0">
              <w:rPr>
                <w:rFonts w:ascii="Arial Narrow" w:hAnsi="Arial Narrow" w:cs="Arial"/>
                <w:b/>
                <w:color w:val="000000"/>
                <w:sz w:val="20"/>
                <w:szCs w:val="20"/>
              </w:rPr>
              <w:t>Last name</w:t>
            </w:r>
          </w:p>
        </w:tc>
        <w:tc>
          <w:tcPr>
            <w:tcW w:w="1876" w:type="dxa"/>
          </w:tcPr>
          <w:p w:rsidR="004B1081" w:rsidRPr="007E3AD0" w:rsidRDefault="004B1081" w:rsidP="00D11D81">
            <w:pPr>
              <w:rPr>
                <w:rFonts w:ascii="Arial Narrow" w:hAnsi="Arial Narrow" w:cs="Arial"/>
                <w:b/>
                <w:color w:val="000000"/>
                <w:sz w:val="20"/>
                <w:szCs w:val="20"/>
              </w:rPr>
            </w:pPr>
            <w:r w:rsidRPr="007E3AD0">
              <w:rPr>
                <w:rFonts w:ascii="Arial Narrow" w:hAnsi="Arial Narrow" w:cs="Arial"/>
                <w:b/>
                <w:color w:val="000000"/>
                <w:sz w:val="20"/>
                <w:szCs w:val="20"/>
              </w:rPr>
              <w:t>First name</w:t>
            </w:r>
          </w:p>
        </w:tc>
        <w:tc>
          <w:tcPr>
            <w:tcW w:w="1385" w:type="dxa"/>
          </w:tcPr>
          <w:p w:rsidR="004B1081" w:rsidRPr="007E3AD0" w:rsidRDefault="004B1081" w:rsidP="00857C6B">
            <w:pPr>
              <w:rPr>
                <w:rFonts w:ascii="Arial Narrow" w:hAnsi="Arial Narrow" w:cs="Arial"/>
                <w:b/>
                <w:color w:val="000000"/>
                <w:sz w:val="20"/>
                <w:szCs w:val="20"/>
              </w:rPr>
            </w:pPr>
            <w:r w:rsidRPr="007E3AD0">
              <w:rPr>
                <w:rFonts w:ascii="Arial Narrow" w:hAnsi="Arial Narrow" w:cs="Arial"/>
                <w:b/>
                <w:color w:val="000000"/>
                <w:sz w:val="20"/>
                <w:szCs w:val="20"/>
              </w:rPr>
              <w:t>DOB</w:t>
            </w:r>
          </w:p>
          <w:p w:rsidR="004B1081" w:rsidRPr="007E3AD0" w:rsidRDefault="004B1081" w:rsidP="00857C6B">
            <w:pPr>
              <w:rPr>
                <w:rFonts w:ascii="Arial Narrow" w:hAnsi="Arial Narrow" w:cs="Arial"/>
                <w:b/>
                <w:color w:val="000000"/>
                <w:sz w:val="20"/>
                <w:szCs w:val="20"/>
              </w:rPr>
            </w:pPr>
            <w:r w:rsidRPr="007E3AD0">
              <w:rPr>
                <w:rFonts w:ascii="Arial Narrow" w:hAnsi="Arial Narrow" w:cs="Arial"/>
                <w:b/>
                <w:color w:val="000000"/>
                <w:sz w:val="20"/>
                <w:szCs w:val="20"/>
              </w:rPr>
              <w:t>(Age if DOB unknown)</w:t>
            </w:r>
          </w:p>
        </w:tc>
        <w:tc>
          <w:tcPr>
            <w:tcW w:w="1417" w:type="dxa"/>
            <w:shd w:val="clear" w:color="auto" w:fill="FFFFFF" w:themeFill="background1"/>
          </w:tcPr>
          <w:p w:rsidR="004B1081" w:rsidRPr="007E3AD0" w:rsidRDefault="004B1081" w:rsidP="00CB4E7A">
            <w:pPr>
              <w:rPr>
                <w:rFonts w:ascii="Arial Narrow" w:hAnsi="Arial Narrow" w:cs="Arial"/>
                <w:b/>
                <w:color w:val="000000"/>
                <w:sz w:val="20"/>
                <w:szCs w:val="20"/>
              </w:rPr>
            </w:pPr>
            <w:r w:rsidRPr="007E3AD0">
              <w:rPr>
                <w:rFonts w:ascii="Arial Narrow" w:hAnsi="Arial Narrow" w:cs="Arial"/>
                <w:b/>
                <w:color w:val="000000"/>
                <w:sz w:val="20"/>
                <w:szCs w:val="20"/>
              </w:rPr>
              <w:t>ATSI/Non-ATSI</w:t>
            </w:r>
          </w:p>
        </w:tc>
        <w:tc>
          <w:tcPr>
            <w:tcW w:w="1876" w:type="dxa"/>
            <w:shd w:val="clear" w:color="auto" w:fill="D9D9D9" w:themeFill="background1" w:themeFillShade="D9"/>
          </w:tcPr>
          <w:p w:rsidR="004B1081" w:rsidRPr="007E3AD0" w:rsidRDefault="004B1081" w:rsidP="00371104">
            <w:pPr>
              <w:rPr>
                <w:rFonts w:ascii="Arial Narrow" w:hAnsi="Arial Narrow" w:cs="Arial"/>
                <w:b/>
                <w:color w:val="000000"/>
                <w:sz w:val="20"/>
                <w:szCs w:val="20"/>
              </w:rPr>
            </w:pPr>
            <w:proofErr w:type="spellStart"/>
            <w:r w:rsidRPr="007E3AD0">
              <w:rPr>
                <w:rFonts w:ascii="Arial Narrow" w:hAnsi="Arial Narrow" w:cs="Arial"/>
                <w:b/>
                <w:color w:val="000000"/>
                <w:sz w:val="20"/>
                <w:szCs w:val="20"/>
              </w:rPr>
              <w:t>Menveo</w:t>
            </w:r>
            <w:proofErr w:type="spellEnd"/>
            <w:r w:rsidRPr="007E3AD0">
              <w:rPr>
                <w:rFonts w:ascii="Arial Narrow" w:hAnsi="Arial Narrow" w:cs="Arial"/>
                <w:b/>
                <w:color w:val="000000"/>
                <w:sz w:val="20"/>
                <w:szCs w:val="20"/>
              </w:rPr>
              <w:t xml:space="preserve"> (2 months to 11 months of age) </w:t>
            </w:r>
          </w:p>
          <w:p w:rsidR="004B1081" w:rsidRPr="007E3AD0" w:rsidRDefault="004B1081" w:rsidP="00371104">
            <w:pPr>
              <w:rPr>
                <w:rFonts w:ascii="Arial Narrow" w:hAnsi="Arial Narrow" w:cs="Arial"/>
                <w:b/>
                <w:color w:val="000000"/>
                <w:sz w:val="20"/>
                <w:szCs w:val="20"/>
              </w:rPr>
            </w:pPr>
            <w:r w:rsidRPr="007E3AD0">
              <w:rPr>
                <w:rFonts w:ascii="Arial Narrow" w:hAnsi="Arial Narrow" w:cs="Arial"/>
                <w:b/>
                <w:color w:val="000000"/>
                <w:sz w:val="20"/>
                <w:szCs w:val="20"/>
              </w:rPr>
              <w:t>Batch No.</w:t>
            </w:r>
          </w:p>
        </w:tc>
        <w:tc>
          <w:tcPr>
            <w:tcW w:w="1843" w:type="dxa"/>
            <w:shd w:val="clear" w:color="auto" w:fill="D9D9D9" w:themeFill="background1" w:themeFillShade="D9"/>
          </w:tcPr>
          <w:p w:rsidR="004B1081" w:rsidRPr="007E3AD0" w:rsidRDefault="004B1081" w:rsidP="00CB4E7A">
            <w:pPr>
              <w:rPr>
                <w:rFonts w:ascii="Arial Narrow" w:hAnsi="Arial Narrow" w:cs="Arial"/>
                <w:b/>
                <w:color w:val="000000"/>
                <w:sz w:val="20"/>
                <w:szCs w:val="20"/>
              </w:rPr>
            </w:pPr>
            <w:proofErr w:type="spellStart"/>
            <w:r w:rsidRPr="007E3AD0">
              <w:rPr>
                <w:rFonts w:ascii="Arial Narrow" w:hAnsi="Arial Narrow" w:cs="Arial"/>
                <w:b/>
                <w:color w:val="000000"/>
                <w:sz w:val="20"/>
                <w:szCs w:val="20"/>
              </w:rPr>
              <w:t>Nimenrix</w:t>
            </w:r>
            <w:proofErr w:type="spellEnd"/>
          </w:p>
          <w:p w:rsidR="004B1081" w:rsidRPr="007E3AD0" w:rsidRDefault="004B1081" w:rsidP="00CB4E7A">
            <w:pPr>
              <w:rPr>
                <w:rFonts w:ascii="Arial Narrow" w:hAnsi="Arial Narrow" w:cs="Arial"/>
                <w:b/>
                <w:color w:val="000000"/>
                <w:sz w:val="20"/>
                <w:szCs w:val="20"/>
              </w:rPr>
            </w:pPr>
            <w:r w:rsidRPr="007E3AD0">
              <w:rPr>
                <w:rFonts w:ascii="Arial Narrow" w:hAnsi="Arial Narrow" w:cs="Arial"/>
                <w:b/>
                <w:color w:val="000000"/>
                <w:sz w:val="20"/>
                <w:szCs w:val="20"/>
              </w:rPr>
              <w:t xml:space="preserve">12 months and older (unless </w:t>
            </w:r>
            <w:proofErr w:type="spellStart"/>
            <w:r w:rsidRPr="007E3AD0">
              <w:rPr>
                <w:rFonts w:ascii="Arial Narrow" w:hAnsi="Arial Narrow" w:cs="Arial"/>
                <w:b/>
                <w:color w:val="000000"/>
                <w:sz w:val="20"/>
                <w:szCs w:val="20"/>
              </w:rPr>
              <w:t>Menveo</w:t>
            </w:r>
            <w:proofErr w:type="spellEnd"/>
            <w:r w:rsidRPr="007E3AD0">
              <w:rPr>
                <w:rFonts w:ascii="Arial Narrow" w:hAnsi="Arial Narrow" w:cs="Arial"/>
                <w:b/>
                <w:color w:val="000000"/>
                <w:sz w:val="20"/>
                <w:szCs w:val="20"/>
              </w:rPr>
              <w:t xml:space="preserve"> given as previous doses)</w:t>
            </w:r>
          </w:p>
          <w:p w:rsidR="004B1081" w:rsidRPr="007E3AD0" w:rsidRDefault="004B1081" w:rsidP="00CB4E7A">
            <w:pPr>
              <w:rPr>
                <w:rFonts w:ascii="Arial Narrow" w:hAnsi="Arial Narrow" w:cs="Arial"/>
                <w:b/>
                <w:color w:val="000000"/>
                <w:sz w:val="20"/>
                <w:szCs w:val="20"/>
              </w:rPr>
            </w:pPr>
            <w:r w:rsidRPr="007E3AD0">
              <w:rPr>
                <w:rFonts w:ascii="Arial Narrow" w:hAnsi="Arial Narrow" w:cs="Arial"/>
                <w:b/>
                <w:color w:val="000000"/>
                <w:sz w:val="20"/>
                <w:szCs w:val="20"/>
              </w:rPr>
              <w:t>Batch No.</w:t>
            </w:r>
          </w:p>
        </w:tc>
        <w:tc>
          <w:tcPr>
            <w:tcW w:w="1560" w:type="dxa"/>
          </w:tcPr>
          <w:p w:rsidR="004B1081" w:rsidRPr="007E3AD0" w:rsidRDefault="004B1081" w:rsidP="0088447F">
            <w:pPr>
              <w:rPr>
                <w:rFonts w:ascii="Arial Narrow" w:hAnsi="Arial Narrow" w:cs="Arial"/>
                <w:b/>
                <w:color w:val="000000"/>
                <w:sz w:val="20"/>
                <w:szCs w:val="20"/>
              </w:rPr>
            </w:pPr>
            <w:r w:rsidRPr="007E3AD0">
              <w:rPr>
                <w:rFonts w:ascii="Arial Narrow" w:hAnsi="Arial Narrow" w:cs="Arial"/>
                <w:b/>
                <w:color w:val="000000"/>
                <w:sz w:val="20"/>
                <w:szCs w:val="20"/>
              </w:rPr>
              <w:t>Consent obtained (tick or sign)</w:t>
            </w:r>
          </w:p>
        </w:tc>
        <w:tc>
          <w:tcPr>
            <w:tcW w:w="1417" w:type="dxa"/>
          </w:tcPr>
          <w:p w:rsidR="004B1081" w:rsidRPr="007E3AD0" w:rsidRDefault="004B1081" w:rsidP="00CB4E7A">
            <w:pPr>
              <w:rPr>
                <w:rFonts w:ascii="Arial Narrow" w:hAnsi="Arial Narrow" w:cs="Arial"/>
                <w:b/>
                <w:color w:val="000000"/>
                <w:sz w:val="20"/>
                <w:szCs w:val="20"/>
              </w:rPr>
            </w:pPr>
            <w:r w:rsidRPr="007E3AD0">
              <w:rPr>
                <w:rFonts w:ascii="Arial Narrow" w:hAnsi="Arial Narrow" w:cs="Arial"/>
                <w:b/>
                <w:color w:val="000000"/>
                <w:sz w:val="20"/>
                <w:szCs w:val="20"/>
              </w:rPr>
              <w:t>Initial of Immuniser</w:t>
            </w:r>
          </w:p>
        </w:tc>
        <w:tc>
          <w:tcPr>
            <w:tcW w:w="1134" w:type="dxa"/>
          </w:tcPr>
          <w:p w:rsidR="004B1081" w:rsidRPr="007E3AD0" w:rsidRDefault="004B1081" w:rsidP="00CB4E7A">
            <w:pPr>
              <w:rPr>
                <w:rFonts w:ascii="Arial Narrow" w:hAnsi="Arial Narrow" w:cs="Arial"/>
                <w:b/>
                <w:color w:val="000000"/>
                <w:sz w:val="20"/>
                <w:szCs w:val="20"/>
              </w:rPr>
            </w:pPr>
            <w:r w:rsidRPr="007E3AD0">
              <w:rPr>
                <w:rFonts w:ascii="Arial Narrow" w:hAnsi="Arial Narrow" w:cs="Arial"/>
                <w:b/>
                <w:color w:val="000000"/>
                <w:sz w:val="20"/>
                <w:szCs w:val="20"/>
              </w:rPr>
              <w:t>Date Given</w:t>
            </w:r>
          </w:p>
        </w:tc>
      </w:tr>
      <w:tr w:rsidR="004B1081" w:rsidRPr="007E3AD0" w:rsidTr="004B1081">
        <w:tc>
          <w:tcPr>
            <w:tcW w:w="1209" w:type="dxa"/>
            <w:shd w:val="clear" w:color="auto" w:fill="D9D9D9" w:themeFill="background1" w:themeFillShade="D9"/>
          </w:tcPr>
          <w:p w:rsidR="004B1081" w:rsidRPr="007E3AD0" w:rsidRDefault="004B1081" w:rsidP="00D11D81">
            <w:pPr>
              <w:rPr>
                <w:rFonts w:ascii="Arial Narrow" w:hAnsi="Arial Narrow" w:cs="Arial"/>
                <w:color w:val="000000"/>
                <w:sz w:val="24"/>
                <w:szCs w:val="24"/>
              </w:rPr>
            </w:pPr>
          </w:p>
        </w:tc>
        <w:tc>
          <w:tcPr>
            <w:tcW w:w="2160" w:type="dxa"/>
          </w:tcPr>
          <w:p w:rsidR="004B1081" w:rsidRPr="007E3AD0" w:rsidRDefault="004B1081" w:rsidP="00D11D81">
            <w:pPr>
              <w:rPr>
                <w:rFonts w:ascii="Arial Narrow" w:hAnsi="Arial Narrow" w:cs="Arial"/>
                <w:color w:val="000000"/>
                <w:sz w:val="24"/>
                <w:szCs w:val="24"/>
              </w:rPr>
            </w:pPr>
          </w:p>
        </w:tc>
        <w:tc>
          <w:tcPr>
            <w:tcW w:w="1876" w:type="dxa"/>
          </w:tcPr>
          <w:p w:rsidR="004B1081" w:rsidRPr="007E3AD0" w:rsidRDefault="004B1081" w:rsidP="00D11D81">
            <w:pPr>
              <w:rPr>
                <w:rFonts w:ascii="Arial Narrow" w:hAnsi="Arial Narrow" w:cs="Arial"/>
                <w:color w:val="000000"/>
                <w:sz w:val="24"/>
                <w:szCs w:val="24"/>
              </w:rPr>
            </w:pPr>
          </w:p>
        </w:tc>
        <w:tc>
          <w:tcPr>
            <w:tcW w:w="1385" w:type="dxa"/>
          </w:tcPr>
          <w:p w:rsidR="004B1081" w:rsidRPr="007E3AD0" w:rsidRDefault="004B1081" w:rsidP="00D11D81">
            <w:pPr>
              <w:rPr>
                <w:rFonts w:ascii="Arial Narrow" w:hAnsi="Arial Narrow" w:cs="Arial"/>
                <w:color w:val="000000"/>
                <w:sz w:val="24"/>
                <w:szCs w:val="24"/>
              </w:rPr>
            </w:pPr>
          </w:p>
        </w:tc>
        <w:tc>
          <w:tcPr>
            <w:tcW w:w="1417" w:type="dxa"/>
            <w:shd w:val="clear" w:color="auto" w:fill="FFFFFF" w:themeFill="background1"/>
          </w:tcPr>
          <w:p w:rsidR="004B1081" w:rsidRPr="007E3AD0" w:rsidRDefault="004B1081" w:rsidP="00D11D81">
            <w:pPr>
              <w:rPr>
                <w:rFonts w:ascii="Arial Narrow" w:hAnsi="Arial Narrow" w:cs="Arial"/>
                <w:color w:val="000000"/>
                <w:sz w:val="24"/>
                <w:szCs w:val="24"/>
              </w:rPr>
            </w:pPr>
          </w:p>
        </w:tc>
        <w:tc>
          <w:tcPr>
            <w:tcW w:w="1876" w:type="dxa"/>
            <w:shd w:val="clear" w:color="auto" w:fill="D9D9D9" w:themeFill="background1" w:themeFillShade="D9"/>
          </w:tcPr>
          <w:p w:rsidR="004B1081" w:rsidRPr="007E3AD0" w:rsidRDefault="004B1081" w:rsidP="00371104">
            <w:pPr>
              <w:rPr>
                <w:rFonts w:ascii="Arial Narrow" w:hAnsi="Arial Narrow" w:cs="Arial"/>
                <w:color w:val="000000"/>
                <w:sz w:val="24"/>
                <w:szCs w:val="24"/>
              </w:rPr>
            </w:pPr>
          </w:p>
        </w:tc>
        <w:tc>
          <w:tcPr>
            <w:tcW w:w="1843" w:type="dxa"/>
            <w:shd w:val="clear" w:color="auto" w:fill="D9D9D9" w:themeFill="background1" w:themeFillShade="D9"/>
          </w:tcPr>
          <w:p w:rsidR="004B1081" w:rsidRPr="007E3AD0" w:rsidRDefault="004B1081" w:rsidP="00D11D81">
            <w:pPr>
              <w:rPr>
                <w:rFonts w:ascii="Arial Narrow" w:hAnsi="Arial Narrow" w:cs="Arial"/>
                <w:color w:val="000000"/>
                <w:sz w:val="24"/>
                <w:szCs w:val="24"/>
              </w:rPr>
            </w:pPr>
          </w:p>
        </w:tc>
        <w:tc>
          <w:tcPr>
            <w:tcW w:w="1560" w:type="dxa"/>
          </w:tcPr>
          <w:p w:rsidR="004B1081" w:rsidRPr="007E3AD0" w:rsidRDefault="004B1081" w:rsidP="00D11D81">
            <w:pPr>
              <w:rPr>
                <w:rFonts w:ascii="Arial Narrow" w:hAnsi="Arial Narrow" w:cs="Arial"/>
                <w:color w:val="000000"/>
                <w:sz w:val="24"/>
                <w:szCs w:val="24"/>
              </w:rPr>
            </w:pPr>
          </w:p>
        </w:tc>
        <w:tc>
          <w:tcPr>
            <w:tcW w:w="1417" w:type="dxa"/>
          </w:tcPr>
          <w:p w:rsidR="004B1081" w:rsidRPr="007E3AD0" w:rsidRDefault="004B1081" w:rsidP="00D11D81">
            <w:pPr>
              <w:rPr>
                <w:rFonts w:ascii="Arial Narrow" w:hAnsi="Arial Narrow" w:cs="Arial"/>
                <w:color w:val="000000"/>
                <w:sz w:val="24"/>
                <w:szCs w:val="24"/>
              </w:rPr>
            </w:pPr>
          </w:p>
        </w:tc>
        <w:tc>
          <w:tcPr>
            <w:tcW w:w="1134" w:type="dxa"/>
          </w:tcPr>
          <w:p w:rsidR="004B1081" w:rsidRPr="007E3AD0" w:rsidRDefault="004B1081" w:rsidP="00D11D81">
            <w:pPr>
              <w:rPr>
                <w:rFonts w:ascii="Arial Narrow" w:hAnsi="Arial Narrow" w:cs="Arial"/>
                <w:color w:val="000000"/>
                <w:sz w:val="24"/>
                <w:szCs w:val="24"/>
              </w:rPr>
            </w:pPr>
          </w:p>
        </w:tc>
      </w:tr>
      <w:tr w:rsidR="004B1081" w:rsidRPr="007E3AD0" w:rsidTr="004B1081">
        <w:tc>
          <w:tcPr>
            <w:tcW w:w="1209" w:type="dxa"/>
            <w:shd w:val="clear" w:color="auto" w:fill="D9D9D9" w:themeFill="background1" w:themeFillShade="D9"/>
          </w:tcPr>
          <w:p w:rsidR="004B1081" w:rsidRPr="007E3AD0" w:rsidRDefault="004B1081" w:rsidP="00D11D81">
            <w:pPr>
              <w:rPr>
                <w:rFonts w:ascii="Arial Narrow" w:hAnsi="Arial Narrow" w:cs="Arial"/>
                <w:color w:val="000000"/>
                <w:sz w:val="24"/>
                <w:szCs w:val="24"/>
              </w:rPr>
            </w:pPr>
          </w:p>
        </w:tc>
        <w:tc>
          <w:tcPr>
            <w:tcW w:w="2160" w:type="dxa"/>
          </w:tcPr>
          <w:p w:rsidR="004B1081" w:rsidRPr="007E3AD0" w:rsidRDefault="004B1081" w:rsidP="00D11D81">
            <w:pPr>
              <w:rPr>
                <w:rFonts w:ascii="Arial Narrow" w:hAnsi="Arial Narrow" w:cs="Arial"/>
                <w:color w:val="000000"/>
                <w:sz w:val="24"/>
                <w:szCs w:val="24"/>
              </w:rPr>
            </w:pPr>
          </w:p>
        </w:tc>
        <w:tc>
          <w:tcPr>
            <w:tcW w:w="1876" w:type="dxa"/>
          </w:tcPr>
          <w:p w:rsidR="004B1081" w:rsidRPr="007E3AD0" w:rsidRDefault="004B1081" w:rsidP="00D11D81">
            <w:pPr>
              <w:rPr>
                <w:rFonts w:ascii="Arial Narrow" w:hAnsi="Arial Narrow" w:cs="Arial"/>
                <w:color w:val="000000"/>
                <w:sz w:val="24"/>
                <w:szCs w:val="24"/>
              </w:rPr>
            </w:pPr>
          </w:p>
        </w:tc>
        <w:tc>
          <w:tcPr>
            <w:tcW w:w="1385" w:type="dxa"/>
          </w:tcPr>
          <w:p w:rsidR="004B1081" w:rsidRPr="007E3AD0" w:rsidRDefault="004B1081" w:rsidP="00D11D81">
            <w:pPr>
              <w:rPr>
                <w:rFonts w:ascii="Arial Narrow" w:hAnsi="Arial Narrow" w:cs="Arial"/>
                <w:color w:val="000000"/>
                <w:sz w:val="24"/>
                <w:szCs w:val="24"/>
              </w:rPr>
            </w:pPr>
          </w:p>
        </w:tc>
        <w:tc>
          <w:tcPr>
            <w:tcW w:w="1417" w:type="dxa"/>
            <w:shd w:val="clear" w:color="auto" w:fill="FFFFFF" w:themeFill="background1"/>
          </w:tcPr>
          <w:p w:rsidR="004B1081" w:rsidRPr="007E3AD0" w:rsidRDefault="004B1081" w:rsidP="00D11D81">
            <w:pPr>
              <w:rPr>
                <w:rFonts w:ascii="Arial Narrow" w:hAnsi="Arial Narrow" w:cs="Arial"/>
                <w:color w:val="000000"/>
                <w:sz w:val="24"/>
                <w:szCs w:val="24"/>
              </w:rPr>
            </w:pPr>
          </w:p>
        </w:tc>
        <w:tc>
          <w:tcPr>
            <w:tcW w:w="1876" w:type="dxa"/>
            <w:shd w:val="clear" w:color="auto" w:fill="D9D9D9" w:themeFill="background1" w:themeFillShade="D9"/>
          </w:tcPr>
          <w:p w:rsidR="004B1081" w:rsidRPr="007E3AD0" w:rsidRDefault="004B1081" w:rsidP="00371104">
            <w:pPr>
              <w:rPr>
                <w:rFonts w:ascii="Arial Narrow" w:hAnsi="Arial Narrow" w:cs="Arial"/>
                <w:color w:val="000000"/>
                <w:sz w:val="24"/>
                <w:szCs w:val="24"/>
              </w:rPr>
            </w:pPr>
          </w:p>
        </w:tc>
        <w:tc>
          <w:tcPr>
            <w:tcW w:w="1843" w:type="dxa"/>
            <w:shd w:val="clear" w:color="auto" w:fill="D9D9D9" w:themeFill="background1" w:themeFillShade="D9"/>
          </w:tcPr>
          <w:p w:rsidR="004B1081" w:rsidRPr="007E3AD0" w:rsidRDefault="004B1081" w:rsidP="00D11D81">
            <w:pPr>
              <w:rPr>
                <w:rFonts w:ascii="Arial Narrow" w:hAnsi="Arial Narrow" w:cs="Arial"/>
                <w:color w:val="000000"/>
                <w:sz w:val="24"/>
                <w:szCs w:val="24"/>
              </w:rPr>
            </w:pPr>
          </w:p>
        </w:tc>
        <w:tc>
          <w:tcPr>
            <w:tcW w:w="1560" w:type="dxa"/>
          </w:tcPr>
          <w:p w:rsidR="004B1081" w:rsidRPr="007E3AD0" w:rsidRDefault="004B1081" w:rsidP="00D11D81">
            <w:pPr>
              <w:rPr>
                <w:rFonts w:ascii="Arial Narrow" w:hAnsi="Arial Narrow" w:cs="Arial"/>
                <w:color w:val="000000"/>
                <w:sz w:val="24"/>
                <w:szCs w:val="24"/>
              </w:rPr>
            </w:pPr>
          </w:p>
        </w:tc>
        <w:tc>
          <w:tcPr>
            <w:tcW w:w="1417" w:type="dxa"/>
          </w:tcPr>
          <w:p w:rsidR="004B1081" w:rsidRPr="007E3AD0" w:rsidRDefault="004B1081" w:rsidP="00D11D81">
            <w:pPr>
              <w:rPr>
                <w:rFonts w:ascii="Arial Narrow" w:hAnsi="Arial Narrow" w:cs="Arial"/>
                <w:color w:val="000000"/>
                <w:sz w:val="24"/>
                <w:szCs w:val="24"/>
              </w:rPr>
            </w:pPr>
          </w:p>
        </w:tc>
        <w:tc>
          <w:tcPr>
            <w:tcW w:w="1134" w:type="dxa"/>
          </w:tcPr>
          <w:p w:rsidR="004B1081" w:rsidRPr="007E3AD0" w:rsidRDefault="004B1081" w:rsidP="00D11D81">
            <w:pPr>
              <w:rPr>
                <w:rFonts w:ascii="Arial Narrow" w:hAnsi="Arial Narrow" w:cs="Arial"/>
                <w:color w:val="000000"/>
                <w:sz w:val="24"/>
                <w:szCs w:val="24"/>
              </w:rPr>
            </w:pPr>
          </w:p>
        </w:tc>
      </w:tr>
      <w:tr w:rsidR="004B1081" w:rsidRPr="007E3AD0" w:rsidTr="004B1081">
        <w:tc>
          <w:tcPr>
            <w:tcW w:w="1209" w:type="dxa"/>
            <w:shd w:val="clear" w:color="auto" w:fill="D9D9D9" w:themeFill="background1" w:themeFillShade="D9"/>
          </w:tcPr>
          <w:p w:rsidR="004B1081" w:rsidRPr="007E3AD0" w:rsidRDefault="004B1081" w:rsidP="00D11D81">
            <w:pPr>
              <w:rPr>
                <w:rFonts w:ascii="Arial Narrow" w:hAnsi="Arial Narrow" w:cs="Arial"/>
                <w:color w:val="000000"/>
                <w:sz w:val="24"/>
                <w:szCs w:val="24"/>
              </w:rPr>
            </w:pPr>
          </w:p>
        </w:tc>
        <w:tc>
          <w:tcPr>
            <w:tcW w:w="2160" w:type="dxa"/>
          </w:tcPr>
          <w:p w:rsidR="004B1081" w:rsidRPr="007E3AD0" w:rsidRDefault="004B1081" w:rsidP="00D11D81">
            <w:pPr>
              <w:rPr>
                <w:rFonts w:ascii="Arial Narrow" w:hAnsi="Arial Narrow" w:cs="Arial"/>
                <w:color w:val="000000"/>
                <w:sz w:val="24"/>
                <w:szCs w:val="24"/>
              </w:rPr>
            </w:pPr>
          </w:p>
        </w:tc>
        <w:tc>
          <w:tcPr>
            <w:tcW w:w="1876" w:type="dxa"/>
          </w:tcPr>
          <w:p w:rsidR="004B1081" w:rsidRPr="007E3AD0" w:rsidRDefault="004B1081" w:rsidP="00D11D81">
            <w:pPr>
              <w:rPr>
                <w:rFonts w:ascii="Arial Narrow" w:hAnsi="Arial Narrow" w:cs="Arial"/>
                <w:color w:val="000000"/>
                <w:sz w:val="24"/>
                <w:szCs w:val="24"/>
              </w:rPr>
            </w:pPr>
          </w:p>
        </w:tc>
        <w:tc>
          <w:tcPr>
            <w:tcW w:w="1385" w:type="dxa"/>
          </w:tcPr>
          <w:p w:rsidR="004B1081" w:rsidRPr="007E3AD0" w:rsidRDefault="004B1081" w:rsidP="00D11D81">
            <w:pPr>
              <w:rPr>
                <w:rFonts w:ascii="Arial Narrow" w:hAnsi="Arial Narrow" w:cs="Arial"/>
                <w:color w:val="000000"/>
                <w:sz w:val="24"/>
                <w:szCs w:val="24"/>
              </w:rPr>
            </w:pPr>
          </w:p>
        </w:tc>
        <w:tc>
          <w:tcPr>
            <w:tcW w:w="1417" w:type="dxa"/>
            <w:shd w:val="clear" w:color="auto" w:fill="FFFFFF" w:themeFill="background1"/>
          </w:tcPr>
          <w:p w:rsidR="004B1081" w:rsidRPr="007E3AD0" w:rsidRDefault="004B1081" w:rsidP="00D11D81">
            <w:pPr>
              <w:rPr>
                <w:rFonts w:ascii="Arial Narrow" w:hAnsi="Arial Narrow" w:cs="Arial"/>
                <w:color w:val="000000"/>
                <w:sz w:val="24"/>
                <w:szCs w:val="24"/>
              </w:rPr>
            </w:pPr>
          </w:p>
        </w:tc>
        <w:tc>
          <w:tcPr>
            <w:tcW w:w="1876" w:type="dxa"/>
            <w:shd w:val="clear" w:color="auto" w:fill="D9D9D9" w:themeFill="background1" w:themeFillShade="D9"/>
          </w:tcPr>
          <w:p w:rsidR="004B1081" w:rsidRPr="007E3AD0" w:rsidRDefault="004B1081" w:rsidP="00371104">
            <w:pPr>
              <w:rPr>
                <w:rFonts w:ascii="Arial Narrow" w:hAnsi="Arial Narrow" w:cs="Arial"/>
                <w:color w:val="000000"/>
                <w:sz w:val="24"/>
                <w:szCs w:val="24"/>
              </w:rPr>
            </w:pPr>
          </w:p>
        </w:tc>
        <w:tc>
          <w:tcPr>
            <w:tcW w:w="1843" w:type="dxa"/>
            <w:shd w:val="clear" w:color="auto" w:fill="D9D9D9" w:themeFill="background1" w:themeFillShade="D9"/>
          </w:tcPr>
          <w:p w:rsidR="004B1081" w:rsidRPr="007E3AD0" w:rsidRDefault="004B1081" w:rsidP="00D11D81">
            <w:pPr>
              <w:rPr>
                <w:rFonts w:ascii="Arial Narrow" w:hAnsi="Arial Narrow" w:cs="Arial"/>
                <w:color w:val="000000"/>
                <w:sz w:val="24"/>
                <w:szCs w:val="24"/>
              </w:rPr>
            </w:pPr>
          </w:p>
        </w:tc>
        <w:tc>
          <w:tcPr>
            <w:tcW w:w="1560" w:type="dxa"/>
          </w:tcPr>
          <w:p w:rsidR="004B1081" w:rsidRPr="007E3AD0" w:rsidRDefault="004B1081" w:rsidP="00D11D81">
            <w:pPr>
              <w:rPr>
                <w:rFonts w:ascii="Arial Narrow" w:hAnsi="Arial Narrow" w:cs="Arial"/>
                <w:color w:val="000000"/>
                <w:sz w:val="24"/>
                <w:szCs w:val="24"/>
              </w:rPr>
            </w:pPr>
          </w:p>
        </w:tc>
        <w:tc>
          <w:tcPr>
            <w:tcW w:w="1417" w:type="dxa"/>
          </w:tcPr>
          <w:p w:rsidR="004B1081" w:rsidRPr="007E3AD0" w:rsidRDefault="004B1081" w:rsidP="00D11D81">
            <w:pPr>
              <w:rPr>
                <w:rFonts w:ascii="Arial Narrow" w:hAnsi="Arial Narrow" w:cs="Arial"/>
                <w:color w:val="000000"/>
                <w:sz w:val="24"/>
                <w:szCs w:val="24"/>
              </w:rPr>
            </w:pPr>
          </w:p>
        </w:tc>
        <w:tc>
          <w:tcPr>
            <w:tcW w:w="1134" w:type="dxa"/>
          </w:tcPr>
          <w:p w:rsidR="004B1081" w:rsidRPr="007E3AD0" w:rsidRDefault="004B1081" w:rsidP="00D11D81">
            <w:pPr>
              <w:rPr>
                <w:rFonts w:ascii="Arial Narrow" w:hAnsi="Arial Narrow" w:cs="Arial"/>
                <w:color w:val="000000"/>
                <w:sz w:val="24"/>
                <w:szCs w:val="24"/>
              </w:rPr>
            </w:pPr>
          </w:p>
        </w:tc>
      </w:tr>
      <w:tr w:rsidR="004B1081" w:rsidRPr="007E3AD0" w:rsidTr="004B1081">
        <w:tc>
          <w:tcPr>
            <w:tcW w:w="1209" w:type="dxa"/>
            <w:shd w:val="clear" w:color="auto" w:fill="D9D9D9" w:themeFill="background1" w:themeFillShade="D9"/>
          </w:tcPr>
          <w:p w:rsidR="004B1081" w:rsidRPr="007E3AD0" w:rsidRDefault="004B1081" w:rsidP="00D11D81">
            <w:pPr>
              <w:rPr>
                <w:rFonts w:ascii="Arial Narrow" w:hAnsi="Arial Narrow" w:cs="Arial"/>
                <w:color w:val="000000"/>
                <w:sz w:val="24"/>
                <w:szCs w:val="24"/>
              </w:rPr>
            </w:pPr>
          </w:p>
        </w:tc>
        <w:tc>
          <w:tcPr>
            <w:tcW w:w="2160" w:type="dxa"/>
          </w:tcPr>
          <w:p w:rsidR="004B1081" w:rsidRPr="007E3AD0" w:rsidRDefault="004B1081" w:rsidP="00D11D81">
            <w:pPr>
              <w:rPr>
                <w:rFonts w:ascii="Arial Narrow" w:hAnsi="Arial Narrow" w:cs="Arial"/>
                <w:color w:val="000000"/>
                <w:sz w:val="24"/>
                <w:szCs w:val="24"/>
              </w:rPr>
            </w:pPr>
          </w:p>
        </w:tc>
        <w:tc>
          <w:tcPr>
            <w:tcW w:w="1876" w:type="dxa"/>
          </w:tcPr>
          <w:p w:rsidR="004B1081" w:rsidRPr="007E3AD0" w:rsidRDefault="004B1081" w:rsidP="00D11D81">
            <w:pPr>
              <w:rPr>
                <w:rFonts w:ascii="Arial Narrow" w:hAnsi="Arial Narrow" w:cs="Arial"/>
                <w:color w:val="000000"/>
                <w:sz w:val="24"/>
                <w:szCs w:val="24"/>
              </w:rPr>
            </w:pPr>
          </w:p>
        </w:tc>
        <w:tc>
          <w:tcPr>
            <w:tcW w:w="1385" w:type="dxa"/>
          </w:tcPr>
          <w:p w:rsidR="004B1081" w:rsidRPr="007E3AD0" w:rsidRDefault="004B1081" w:rsidP="00D11D81">
            <w:pPr>
              <w:rPr>
                <w:rFonts w:ascii="Arial Narrow" w:hAnsi="Arial Narrow" w:cs="Arial"/>
                <w:color w:val="000000"/>
                <w:sz w:val="24"/>
                <w:szCs w:val="24"/>
              </w:rPr>
            </w:pPr>
          </w:p>
        </w:tc>
        <w:tc>
          <w:tcPr>
            <w:tcW w:w="1417" w:type="dxa"/>
            <w:shd w:val="clear" w:color="auto" w:fill="FFFFFF" w:themeFill="background1"/>
          </w:tcPr>
          <w:p w:rsidR="004B1081" w:rsidRPr="007E3AD0" w:rsidRDefault="004B1081" w:rsidP="00D11D81">
            <w:pPr>
              <w:rPr>
                <w:rFonts w:ascii="Arial Narrow" w:hAnsi="Arial Narrow" w:cs="Arial"/>
                <w:color w:val="000000"/>
                <w:sz w:val="24"/>
                <w:szCs w:val="24"/>
              </w:rPr>
            </w:pPr>
          </w:p>
        </w:tc>
        <w:tc>
          <w:tcPr>
            <w:tcW w:w="1876" w:type="dxa"/>
            <w:shd w:val="clear" w:color="auto" w:fill="D9D9D9" w:themeFill="background1" w:themeFillShade="D9"/>
          </w:tcPr>
          <w:p w:rsidR="004B1081" w:rsidRPr="007E3AD0" w:rsidRDefault="004B1081" w:rsidP="00371104">
            <w:pPr>
              <w:rPr>
                <w:rFonts w:ascii="Arial Narrow" w:hAnsi="Arial Narrow" w:cs="Arial"/>
                <w:color w:val="000000"/>
                <w:sz w:val="24"/>
                <w:szCs w:val="24"/>
              </w:rPr>
            </w:pPr>
          </w:p>
        </w:tc>
        <w:tc>
          <w:tcPr>
            <w:tcW w:w="1843" w:type="dxa"/>
            <w:shd w:val="clear" w:color="auto" w:fill="D9D9D9" w:themeFill="background1" w:themeFillShade="D9"/>
          </w:tcPr>
          <w:p w:rsidR="004B1081" w:rsidRPr="007E3AD0" w:rsidRDefault="004B1081" w:rsidP="00D11D81">
            <w:pPr>
              <w:rPr>
                <w:rFonts w:ascii="Arial Narrow" w:hAnsi="Arial Narrow" w:cs="Arial"/>
                <w:color w:val="000000"/>
                <w:sz w:val="24"/>
                <w:szCs w:val="24"/>
              </w:rPr>
            </w:pPr>
          </w:p>
        </w:tc>
        <w:tc>
          <w:tcPr>
            <w:tcW w:w="1560" w:type="dxa"/>
          </w:tcPr>
          <w:p w:rsidR="004B1081" w:rsidRPr="007E3AD0" w:rsidRDefault="004B1081" w:rsidP="00D11D81">
            <w:pPr>
              <w:rPr>
                <w:rFonts w:ascii="Arial Narrow" w:hAnsi="Arial Narrow" w:cs="Arial"/>
                <w:color w:val="000000"/>
                <w:sz w:val="24"/>
                <w:szCs w:val="24"/>
              </w:rPr>
            </w:pPr>
          </w:p>
        </w:tc>
        <w:tc>
          <w:tcPr>
            <w:tcW w:w="1417" w:type="dxa"/>
          </w:tcPr>
          <w:p w:rsidR="004B1081" w:rsidRPr="007E3AD0" w:rsidRDefault="004B1081" w:rsidP="00D11D81">
            <w:pPr>
              <w:rPr>
                <w:rFonts w:ascii="Arial Narrow" w:hAnsi="Arial Narrow" w:cs="Arial"/>
                <w:color w:val="000000"/>
                <w:sz w:val="24"/>
                <w:szCs w:val="24"/>
              </w:rPr>
            </w:pPr>
          </w:p>
        </w:tc>
        <w:tc>
          <w:tcPr>
            <w:tcW w:w="1134" w:type="dxa"/>
          </w:tcPr>
          <w:p w:rsidR="004B1081" w:rsidRPr="007E3AD0" w:rsidRDefault="004B1081" w:rsidP="00D11D81">
            <w:pPr>
              <w:rPr>
                <w:rFonts w:ascii="Arial Narrow" w:hAnsi="Arial Narrow" w:cs="Arial"/>
                <w:color w:val="000000"/>
                <w:sz w:val="24"/>
                <w:szCs w:val="24"/>
              </w:rPr>
            </w:pPr>
          </w:p>
        </w:tc>
      </w:tr>
      <w:tr w:rsidR="004B1081" w:rsidRPr="007E3AD0" w:rsidTr="004B1081">
        <w:tc>
          <w:tcPr>
            <w:tcW w:w="1209" w:type="dxa"/>
            <w:shd w:val="clear" w:color="auto" w:fill="D9D9D9" w:themeFill="background1" w:themeFillShade="D9"/>
          </w:tcPr>
          <w:p w:rsidR="004B1081" w:rsidRPr="007E3AD0" w:rsidRDefault="004B1081" w:rsidP="00D11D81">
            <w:pPr>
              <w:rPr>
                <w:rFonts w:ascii="Arial Narrow" w:hAnsi="Arial Narrow" w:cs="Arial"/>
                <w:color w:val="000000"/>
                <w:sz w:val="24"/>
                <w:szCs w:val="24"/>
              </w:rPr>
            </w:pPr>
          </w:p>
        </w:tc>
        <w:tc>
          <w:tcPr>
            <w:tcW w:w="2160" w:type="dxa"/>
          </w:tcPr>
          <w:p w:rsidR="004B1081" w:rsidRPr="007E3AD0" w:rsidRDefault="004B1081" w:rsidP="00D11D81">
            <w:pPr>
              <w:rPr>
                <w:rFonts w:ascii="Arial Narrow" w:hAnsi="Arial Narrow" w:cs="Arial"/>
                <w:color w:val="000000"/>
                <w:sz w:val="24"/>
                <w:szCs w:val="24"/>
              </w:rPr>
            </w:pPr>
          </w:p>
        </w:tc>
        <w:tc>
          <w:tcPr>
            <w:tcW w:w="1876" w:type="dxa"/>
          </w:tcPr>
          <w:p w:rsidR="004B1081" w:rsidRPr="007E3AD0" w:rsidRDefault="004B1081" w:rsidP="00D11D81">
            <w:pPr>
              <w:rPr>
                <w:rFonts w:ascii="Arial Narrow" w:hAnsi="Arial Narrow" w:cs="Arial"/>
                <w:color w:val="000000"/>
                <w:sz w:val="24"/>
                <w:szCs w:val="24"/>
              </w:rPr>
            </w:pPr>
          </w:p>
        </w:tc>
        <w:tc>
          <w:tcPr>
            <w:tcW w:w="1385" w:type="dxa"/>
          </w:tcPr>
          <w:p w:rsidR="004B1081" w:rsidRPr="007E3AD0" w:rsidRDefault="004B1081" w:rsidP="00D11D81">
            <w:pPr>
              <w:rPr>
                <w:rFonts w:ascii="Arial Narrow" w:hAnsi="Arial Narrow" w:cs="Arial"/>
                <w:color w:val="000000"/>
                <w:sz w:val="24"/>
                <w:szCs w:val="24"/>
              </w:rPr>
            </w:pPr>
          </w:p>
        </w:tc>
        <w:tc>
          <w:tcPr>
            <w:tcW w:w="1417" w:type="dxa"/>
            <w:shd w:val="clear" w:color="auto" w:fill="FFFFFF" w:themeFill="background1"/>
          </w:tcPr>
          <w:p w:rsidR="004B1081" w:rsidRPr="007E3AD0" w:rsidRDefault="004B1081" w:rsidP="00D11D81">
            <w:pPr>
              <w:rPr>
                <w:rFonts w:ascii="Arial Narrow" w:hAnsi="Arial Narrow" w:cs="Arial"/>
                <w:color w:val="000000"/>
                <w:sz w:val="24"/>
                <w:szCs w:val="24"/>
              </w:rPr>
            </w:pPr>
          </w:p>
        </w:tc>
        <w:tc>
          <w:tcPr>
            <w:tcW w:w="1876" w:type="dxa"/>
            <w:shd w:val="clear" w:color="auto" w:fill="D9D9D9" w:themeFill="background1" w:themeFillShade="D9"/>
          </w:tcPr>
          <w:p w:rsidR="004B1081" w:rsidRPr="007E3AD0" w:rsidRDefault="004B1081" w:rsidP="00371104">
            <w:pPr>
              <w:rPr>
                <w:rFonts w:ascii="Arial Narrow" w:hAnsi="Arial Narrow" w:cs="Arial"/>
                <w:color w:val="000000"/>
                <w:sz w:val="24"/>
                <w:szCs w:val="24"/>
              </w:rPr>
            </w:pPr>
          </w:p>
        </w:tc>
        <w:tc>
          <w:tcPr>
            <w:tcW w:w="1843" w:type="dxa"/>
            <w:shd w:val="clear" w:color="auto" w:fill="D9D9D9" w:themeFill="background1" w:themeFillShade="D9"/>
          </w:tcPr>
          <w:p w:rsidR="004B1081" w:rsidRPr="007E3AD0" w:rsidRDefault="004B1081" w:rsidP="00D11D81">
            <w:pPr>
              <w:rPr>
                <w:rFonts w:ascii="Arial Narrow" w:hAnsi="Arial Narrow" w:cs="Arial"/>
                <w:color w:val="000000"/>
                <w:sz w:val="24"/>
                <w:szCs w:val="24"/>
              </w:rPr>
            </w:pPr>
          </w:p>
        </w:tc>
        <w:tc>
          <w:tcPr>
            <w:tcW w:w="1560" w:type="dxa"/>
          </w:tcPr>
          <w:p w:rsidR="004B1081" w:rsidRPr="007E3AD0" w:rsidRDefault="004B1081" w:rsidP="00D11D81">
            <w:pPr>
              <w:rPr>
                <w:rFonts w:ascii="Arial Narrow" w:hAnsi="Arial Narrow" w:cs="Arial"/>
                <w:color w:val="000000"/>
                <w:sz w:val="24"/>
                <w:szCs w:val="24"/>
              </w:rPr>
            </w:pPr>
          </w:p>
        </w:tc>
        <w:tc>
          <w:tcPr>
            <w:tcW w:w="1417" w:type="dxa"/>
          </w:tcPr>
          <w:p w:rsidR="004B1081" w:rsidRPr="007E3AD0" w:rsidRDefault="004B1081" w:rsidP="00D11D81">
            <w:pPr>
              <w:rPr>
                <w:rFonts w:ascii="Arial Narrow" w:hAnsi="Arial Narrow" w:cs="Arial"/>
                <w:color w:val="000000"/>
                <w:sz w:val="24"/>
                <w:szCs w:val="24"/>
              </w:rPr>
            </w:pPr>
          </w:p>
        </w:tc>
        <w:tc>
          <w:tcPr>
            <w:tcW w:w="1134" w:type="dxa"/>
          </w:tcPr>
          <w:p w:rsidR="004B1081" w:rsidRPr="007E3AD0" w:rsidRDefault="004B1081" w:rsidP="00D11D81">
            <w:pPr>
              <w:rPr>
                <w:rFonts w:ascii="Arial Narrow" w:hAnsi="Arial Narrow" w:cs="Arial"/>
                <w:color w:val="000000"/>
                <w:sz w:val="24"/>
                <w:szCs w:val="24"/>
              </w:rPr>
            </w:pPr>
          </w:p>
        </w:tc>
      </w:tr>
      <w:tr w:rsidR="004B1081" w:rsidRPr="007E3AD0" w:rsidTr="004B1081">
        <w:tc>
          <w:tcPr>
            <w:tcW w:w="1209" w:type="dxa"/>
            <w:shd w:val="clear" w:color="auto" w:fill="D9D9D9" w:themeFill="background1" w:themeFillShade="D9"/>
          </w:tcPr>
          <w:p w:rsidR="004B1081" w:rsidRPr="007E3AD0" w:rsidRDefault="004B1081" w:rsidP="00D11D81">
            <w:pPr>
              <w:rPr>
                <w:rFonts w:ascii="Arial Narrow" w:hAnsi="Arial Narrow" w:cs="Arial"/>
                <w:color w:val="000000"/>
                <w:sz w:val="24"/>
                <w:szCs w:val="24"/>
              </w:rPr>
            </w:pPr>
          </w:p>
        </w:tc>
        <w:tc>
          <w:tcPr>
            <w:tcW w:w="2160" w:type="dxa"/>
          </w:tcPr>
          <w:p w:rsidR="004B1081" w:rsidRPr="007E3AD0" w:rsidRDefault="004B1081" w:rsidP="00D11D81">
            <w:pPr>
              <w:rPr>
                <w:rFonts w:ascii="Arial Narrow" w:hAnsi="Arial Narrow" w:cs="Arial"/>
                <w:color w:val="000000"/>
                <w:sz w:val="24"/>
                <w:szCs w:val="24"/>
              </w:rPr>
            </w:pPr>
          </w:p>
        </w:tc>
        <w:tc>
          <w:tcPr>
            <w:tcW w:w="1876" w:type="dxa"/>
          </w:tcPr>
          <w:p w:rsidR="004B1081" w:rsidRPr="007E3AD0" w:rsidRDefault="004B1081" w:rsidP="00D11D81">
            <w:pPr>
              <w:rPr>
                <w:rFonts w:ascii="Arial Narrow" w:hAnsi="Arial Narrow" w:cs="Arial"/>
                <w:color w:val="000000"/>
                <w:sz w:val="24"/>
                <w:szCs w:val="24"/>
              </w:rPr>
            </w:pPr>
          </w:p>
        </w:tc>
        <w:tc>
          <w:tcPr>
            <w:tcW w:w="1385" w:type="dxa"/>
          </w:tcPr>
          <w:p w:rsidR="004B1081" w:rsidRPr="007E3AD0" w:rsidRDefault="004B1081" w:rsidP="00D11D81">
            <w:pPr>
              <w:rPr>
                <w:rFonts w:ascii="Arial Narrow" w:hAnsi="Arial Narrow" w:cs="Arial"/>
                <w:color w:val="000000"/>
                <w:sz w:val="24"/>
                <w:szCs w:val="24"/>
              </w:rPr>
            </w:pPr>
          </w:p>
        </w:tc>
        <w:tc>
          <w:tcPr>
            <w:tcW w:w="1417" w:type="dxa"/>
            <w:shd w:val="clear" w:color="auto" w:fill="FFFFFF" w:themeFill="background1"/>
          </w:tcPr>
          <w:p w:rsidR="004B1081" w:rsidRPr="007E3AD0" w:rsidRDefault="004B1081" w:rsidP="00D11D81">
            <w:pPr>
              <w:rPr>
                <w:rFonts w:ascii="Arial Narrow" w:hAnsi="Arial Narrow" w:cs="Arial"/>
                <w:color w:val="000000"/>
                <w:sz w:val="24"/>
                <w:szCs w:val="24"/>
              </w:rPr>
            </w:pPr>
          </w:p>
        </w:tc>
        <w:tc>
          <w:tcPr>
            <w:tcW w:w="1876" w:type="dxa"/>
            <w:shd w:val="clear" w:color="auto" w:fill="D9D9D9" w:themeFill="background1" w:themeFillShade="D9"/>
          </w:tcPr>
          <w:p w:rsidR="004B1081" w:rsidRPr="007E3AD0" w:rsidRDefault="004B1081" w:rsidP="00371104">
            <w:pPr>
              <w:rPr>
                <w:rFonts w:ascii="Arial Narrow" w:hAnsi="Arial Narrow" w:cs="Arial"/>
                <w:color w:val="000000"/>
                <w:sz w:val="24"/>
                <w:szCs w:val="24"/>
              </w:rPr>
            </w:pPr>
          </w:p>
        </w:tc>
        <w:tc>
          <w:tcPr>
            <w:tcW w:w="1843" w:type="dxa"/>
            <w:shd w:val="clear" w:color="auto" w:fill="D9D9D9" w:themeFill="background1" w:themeFillShade="D9"/>
          </w:tcPr>
          <w:p w:rsidR="004B1081" w:rsidRPr="007E3AD0" w:rsidRDefault="004B1081" w:rsidP="00D11D81">
            <w:pPr>
              <w:rPr>
                <w:rFonts w:ascii="Arial Narrow" w:hAnsi="Arial Narrow" w:cs="Arial"/>
                <w:color w:val="000000"/>
                <w:sz w:val="24"/>
                <w:szCs w:val="24"/>
              </w:rPr>
            </w:pPr>
          </w:p>
        </w:tc>
        <w:tc>
          <w:tcPr>
            <w:tcW w:w="1560" w:type="dxa"/>
          </w:tcPr>
          <w:p w:rsidR="004B1081" w:rsidRPr="007E3AD0" w:rsidRDefault="004B1081" w:rsidP="00D11D81">
            <w:pPr>
              <w:rPr>
                <w:rFonts w:ascii="Arial Narrow" w:hAnsi="Arial Narrow" w:cs="Arial"/>
                <w:color w:val="000000"/>
                <w:sz w:val="24"/>
                <w:szCs w:val="24"/>
              </w:rPr>
            </w:pPr>
          </w:p>
        </w:tc>
        <w:tc>
          <w:tcPr>
            <w:tcW w:w="1417" w:type="dxa"/>
          </w:tcPr>
          <w:p w:rsidR="004B1081" w:rsidRPr="007E3AD0" w:rsidRDefault="004B1081" w:rsidP="00D11D81">
            <w:pPr>
              <w:rPr>
                <w:rFonts w:ascii="Arial Narrow" w:hAnsi="Arial Narrow" w:cs="Arial"/>
                <w:color w:val="000000"/>
                <w:sz w:val="24"/>
                <w:szCs w:val="24"/>
              </w:rPr>
            </w:pPr>
          </w:p>
        </w:tc>
        <w:tc>
          <w:tcPr>
            <w:tcW w:w="1134" w:type="dxa"/>
          </w:tcPr>
          <w:p w:rsidR="004B1081" w:rsidRPr="007E3AD0" w:rsidRDefault="004B1081" w:rsidP="00D11D81">
            <w:pPr>
              <w:rPr>
                <w:rFonts w:ascii="Arial Narrow" w:hAnsi="Arial Narrow" w:cs="Arial"/>
                <w:color w:val="000000"/>
                <w:sz w:val="24"/>
                <w:szCs w:val="24"/>
              </w:rPr>
            </w:pPr>
          </w:p>
        </w:tc>
      </w:tr>
      <w:tr w:rsidR="00AE2340" w:rsidRPr="007E3AD0" w:rsidTr="004B1081">
        <w:tc>
          <w:tcPr>
            <w:tcW w:w="1209" w:type="dxa"/>
            <w:shd w:val="clear" w:color="auto" w:fill="D9D9D9" w:themeFill="background1" w:themeFillShade="D9"/>
          </w:tcPr>
          <w:p w:rsidR="00AE2340" w:rsidRPr="007E3AD0" w:rsidRDefault="00AE2340" w:rsidP="00D11D81">
            <w:pPr>
              <w:rPr>
                <w:rFonts w:ascii="Arial Narrow" w:hAnsi="Arial Narrow" w:cs="Arial"/>
                <w:color w:val="000000"/>
                <w:sz w:val="24"/>
                <w:szCs w:val="24"/>
              </w:rPr>
            </w:pPr>
          </w:p>
        </w:tc>
        <w:tc>
          <w:tcPr>
            <w:tcW w:w="2160" w:type="dxa"/>
          </w:tcPr>
          <w:p w:rsidR="00AE2340" w:rsidRPr="007E3AD0" w:rsidRDefault="00AE2340" w:rsidP="00D11D81">
            <w:pPr>
              <w:rPr>
                <w:rFonts w:ascii="Arial Narrow" w:hAnsi="Arial Narrow" w:cs="Arial"/>
                <w:color w:val="000000"/>
                <w:sz w:val="24"/>
                <w:szCs w:val="24"/>
              </w:rPr>
            </w:pPr>
          </w:p>
        </w:tc>
        <w:tc>
          <w:tcPr>
            <w:tcW w:w="1876" w:type="dxa"/>
          </w:tcPr>
          <w:p w:rsidR="00AE2340" w:rsidRPr="007E3AD0" w:rsidRDefault="00AE2340" w:rsidP="00D11D81">
            <w:pPr>
              <w:rPr>
                <w:rFonts w:ascii="Arial Narrow" w:hAnsi="Arial Narrow" w:cs="Arial"/>
                <w:color w:val="000000"/>
                <w:sz w:val="24"/>
                <w:szCs w:val="24"/>
              </w:rPr>
            </w:pPr>
          </w:p>
        </w:tc>
        <w:tc>
          <w:tcPr>
            <w:tcW w:w="1385" w:type="dxa"/>
          </w:tcPr>
          <w:p w:rsidR="00AE2340" w:rsidRPr="007E3AD0" w:rsidRDefault="00AE2340" w:rsidP="00D11D81">
            <w:pPr>
              <w:rPr>
                <w:rFonts w:ascii="Arial Narrow" w:hAnsi="Arial Narrow" w:cs="Arial"/>
                <w:color w:val="000000"/>
                <w:sz w:val="24"/>
                <w:szCs w:val="24"/>
              </w:rPr>
            </w:pPr>
          </w:p>
        </w:tc>
        <w:tc>
          <w:tcPr>
            <w:tcW w:w="1417" w:type="dxa"/>
            <w:shd w:val="clear" w:color="auto" w:fill="FFFFFF" w:themeFill="background1"/>
          </w:tcPr>
          <w:p w:rsidR="00AE2340" w:rsidRPr="007E3AD0" w:rsidRDefault="00AE2340" w:rsidP="00D11D81">
            <w:pPr>
              <w:rPr>
                <w:rFonts w:ascii="Arial Narrow" w:hAnsi="Arial Narrow" w:cs="Arial"/>
                <w:color w:val="000000"/>
                <w:sz w:val="24"/>
                <w:szCs w:val="24"/>
              </w:rPr>
            </w:pPr>
          </w:p>
        </w:tc>
        <w:tc>
          <w:tcPr>
            <w:tcW w:w="1876" w:type="dxa"/>
            <w:shd w:val="clear" w:color="auto" w:fill="D9D9D9" w:themeFill="background1" w:themeFillShade="D9"/>
          </w:tcPr>
          <w:p w:rsidR="00AE2340" w:rsidRPr="007E3AD0" w:rsidRDefault="00AE2340" w:rsidP="00371104">
            <w:pPr>
              <w:rPr>
                <w:rFonts w:ascii="Arial Narrow" w:hAnsi="Arial Narrow" w:cs="Arial"/>
                <w:color w:val="000000"/>
                <w:sz w:val="24"/>
                <w:szCs w:val="24"/>
              </w:rPr>
            </w:pPr>
          </w:p>
        </w:tc>
        <w:tc>
          <w:tcPr>
            <w:tcW w:w="1843" w:type="dxa"/>
            <w:shd w:val="clear" w:color="auto" w:fill="D9D9D9" w:themeFill="background1" w:themeFillShade="D9"/>
          </w:tcPr>
          <w:p w:rsidR="00AE2340" w:rsidRPr="007E3AD0" w:rsidRDefault="00AE2340" w:rsidP="00D11D81">
            <w:pPr>
              <w:rPr>
                <w:rFonts w:ascii="Arial Narrow" w:hAnsi="Arial Narrow" w:cs="Arial"/>
                <w:color w:val="000000"/>
                <w:sz w:val="24"/>
                <w:szCs w:val="24"/>
              </w:rPr>
            </w:pPr>
          </w:p>
        </w:tc>
        <w:tc>
          <w:tcPr>
            <w:tcW w:w="1560" w:type="dxa"/>
          </w:tcPr>
          <w:p w:rsidR="00AE2340" w:rsidRPr="007E3AD0" w:rsidRDefault="00AE2340" w:rsidP="00D11D81">
            <w:pPr>
              <w:rPr>
                <w:rFonts w:ascii="Arial Narrow" w:hAnsi="Arial Narrow" w:cs="Arial"/>
                <w:color w:val="000000"/>
                <w:sz w:val="24"/>
                <w:szCs w:val="24"/>
              </w:rPr>
            </w:pPr>
          </w:p>
        </w:tc>
        <w:tc>
          <w:tcPr>
            <w:tcW w:w="1417" w:type="dxa"/>
          </w:tcPr>
          <w:p w:rsidR="00AE2340" w:rsidRPr="007E3AD0" w:rsidRDefault="00AE2340" w:rsidP="00D11D81">
            <w:pPr>
              <w:rPr>
                <w:rFonts w:ascii="Arial Narrow" w:hAnsi="Arial Narrow" w:cs="Arial"/>
                <w:color w:val="000000"/>
                <w:sz w:val="24"/>
                <w:szCs w:val="24"/>
              </w:rPr>
            </w:pPr>
          </w:p>
        </w:tc>
        <w:tc>
          <w:tcPr>
            <w:tcW w:w="1134" w:type="dxa"/>
          </w:tcPr>
          <w:p w:rsidR="00AE2340" w:rsidRPr="007E3AD0" w:rsidRDefault="00AE2340" w:rsidP="00D11D81">
            <w:pPr>
              <w:rPr>
                <w:rFonts w:ascii="Arial Narrow" w:hAnsi="Arial Narrow" w:cs="Arial"/>
                <w:color w:val="000000"/>
                <w:sz w:val="24"/>
                <w:szCs w:val="24"/>
              </w:rPr>
            </w:pPr>
          </w:p>
        </w:tc>
      </w:tr>
      <w:tr w:rsidR="00AE2340" w:rsidRPr="007E3AD0" w:rsidTr="004B1081">
        <w:tc>
          <w:tcPr>
            <w:tcW w:w="1209" w:type="dxa"/>
            <w:shd w:val="clear" w:color="auto" w:fill="D9D9D9" w:themeFill="background1" w:themeFillShade="D9"/>
          </w:tcPr>
          <w:p w:rsidR="00AE2340" w:rsidRPr="007E3AD0" w:rsidRDefault="00AE2340" w:rsidP="00D11D81">
            <w:pPr>
              <w:rPr>
                <w:rFonts w:ascii="Arial Narrow" w:hAnsi="Arial Narrow" w:cs="Arial"/>
                <w:color w:val="000000"/>
                <w:sz w:val="24"/>
                <w:szCs w:val="24"/>
              </w:rPr>
            </w:pPr>
          </w:p>
        </w:tc>
        <w:tc>
          <w:tcPr>
            <w:tcW w:w="2160" w:type="dxa"/>
          </w:tcPr>
          <w:p w:rsidR="00AE2340" w:rsidRPr="007E3AD0" w:rsidRDefault="00AE2340" w:rsidP="00D11D81">
            <w:pPr>
              <w:rPr>
                <w:rFonts w:ascii="Arial Narrow" w:hAnsi="Arial Narrow" w:cs="Arial"/>
                <w:color w:val="000000"/>
                <w:sz w:val="24"/>
                <w:szCs w:val="24"/>
              </w:rPr>
            </w:pPr>
          </w:p>
        </w:tc>
        <w:tc>
          <w:tcPr>
            <w:tcW w:w="1876" w:type="dxa"/>
          </w:tcPr>
          <w:p w:rsidR="00AE2340" w:rsidRPr="007E3AD0" w:rsidRDefault="00AE2340" w:rsidP="00D11D81">
            <w:pPr>
              <w:rPr>
                <w:rFonts w:ascii="Arial Narrow" w:hAnsi="Arial Narrow" w:cs="Arial"/>
                <w:color w:val="000000"/>
                <w:sz w:val="24"/>
                <w:szCs w:val="24"/>
              </w:rPr>
            </w:pPr>
          </w:p>
        </w:tc>
        <w:tc>
          <w:tcPr>
            <w:tcW w:w="1385" w:type="dxa"/>
          </w:tcPr>
          <w:p w:rsidR="00AE2340" w:rsidRPr="007E3AD0" w:rsidRDefault="00AE2340" w:rsidP="00D11D81">
            <w:pPr>
              <w:rPr>
                <w:rFonts w:ascii="Arial Narrow" w:hAnsi="Arial Narrow" w:cs="Arial"/>
                <w:color w:val="000000"/>
                <w:sz w:val="24"/>
                <w:szCs w:val="24"/>
              </w:rPr>
            </w:pPr>
          </w:p>
        </w:tc>
        <w:tc>
          <w:tcPr>
            <w:tcW w:w="1417" w:type="dxa"/>
            <w:shd w:val="clear" w:color="auto" w:fill="FFFFFF" w:themeFill="background1"/>
          </w:tcPr>
          <w:p w:rsidR="00AE2340" w:rsidRPr="007E3AD0" w:rsidRDefault="00AE2340" w:rsidP="00D11D81">
            <w:pPr>
              <w:rPr>
                <w:rFonts w:ascii="Arial Narrow" w:hAnsi="Arial Narrow" w:cs="Arial"/>
                <w:color w:val="000000"/>
                <w:sz w:val="24"/>
                <w:szCs w:val="24"/>
              </w:rPr>
            </w:pPr>
          </w:p>
        </w:tc>
        <w:tc>
          <w:tcPr>
            <w:tcW w:w="1876" w:type="dxa"/>
            <w:shd w:val="clear" w:color="auto" w:fill="D9D9D9" w:themeFill="background1" w:themeFillShade="D9"/>
          </w:tcPr>
          <w:p w:rsidR="00AE2340" w:rsidRPr="007E3AD0" w:rsidRDefault="00AE2340" w:rsidP="00371104">
            <w:pPr>
              <w:rPr>
                <w:rFonts w:ascii="Arial Narrow" w:hAnsi="Arial Narrow" w:cs="Arial"/>
                <w:color w:val="000000"/>
                <w:sz w:val="24"/>
                <w:szCs w:val="24"/>
              </w:rPr>
            </w:pPr>
          </w:p>
        </w:tc>
        <w:tc>
          <w:tcPr>
            <w:tcW w:w="1843" w:type="dxa"/>
            <w:shd w:val="clear" w:color="auto" w:fill="D9D9D9" w:themeFill="background1" w:themeFillShade="D9"/>
          </w:tcPr>
          <w:p w:rsidR="00AE2340" w:rsidRPr="007E3AD0" w:rsidRDefault="00AE2340" w:rsidP="00D11D81">
            <w:pPr>
              <w:rPr>
                <w:rFonts w:ascii="Arial Narrow" w:hAnsi="Arial Narrow" w:cs="Arial"/>
                <w:color w:val="000000"/>
                <w:sz w:val="24"/>
                <w:szCs w:val="24"/>
              </w:rPr>
            </w:pPr>
          </w:p>
        </w:tc>
        <w:tc>
          <w:tcPr>
            <w:tcW w:w="1560" w:type="dxa"/>
          </w:tcPr>
          <w:p w:rsidR="00AE2340" w:rsidRPr="007E3AD0" w:rsidRDefault="00AE2340" w:rsidP="00D11D81">
            <w:pPr>
              <w:rPr>
                <w:rFonts w:ascii="Arial Narrow" w:hAnsi="Arial Narrow" w:cs="Arial"/>
                <w:color w:val="000000"/>
                <w:sz w:val="24"/>
                <w:szCs w:val="24"/>
              </w:rPr>
            </w:pPr>
          </w:p>
        </w:tc>
        <w:tc>
          <w:tcPr>
            <w:tcW w:w="1417" w:type="dxa"/>
          </w:tcPr>
          <w:p w:rsidR="00AE2340" w:rsidRPr="007E3AD0" w:rsidRDefault="00AE2340" w:rsidP="00D11D81">
            <w:pPr>
              <w:rPr>
                <w:rFonts w:ascii="Arial Narrow" w:hAnsi="Arial Narrow" w:cs="Arial"/>
                <w:color w:val="000000"/>
                <w:sz w:val="24"/>
                <w:szCs w:val="24"/>
              </w:rPr>
            </w:pPr>
          </w:p>
        </w:tc>
        <w:tc>
          <w:tcPr>
            <w:tcW w:w="1134" w:type="dxa"/>
          </w:tcPr>
          <w:p w:rsidR="00AE2340" w:rsidRPr="007E3AD0" w:rsidRDefault="00AE2340" w:rsidP="00D11D81">
            <w:pPr>
              <w:rPr>
                <w:rFonts w:ascii="Arial Narrow" w:hAnsi="Arial Narrow" w:cs="Arial"/>
                <w:color w:val="000000"/>
                <w:sz w:val="24"/>
                <w:szCs w:val="24"/>
              </w:rPr>
            </w:pPr>
          </w:p>
        </w:tc>
      </w:tr>
    </w:tbl>
    <w:p w:rsidR="00273327" w:rsidRPr="007E3AD0" w:rsidRDefault="00273327" w:rsidP="009368D5">
      <w:pPr>
        <w:spacing w:after="0"/>
        <w:rPr>
          <w:rFonts w:ascii="Arial Narrow" w:hAnsi="Arial Narrow"/>
          <w:b/>
          <w:sz w:val="24"/>
          <w:szCs w:val="24"/>
        </w:rPr>
      </w:pPr>
      <w:r w:rsidRPr="007E3AD0">
        <w:rPr>
          <w:rFonts w:ascii="Arial Narrow" w:hAnsi="Arial Narrow"/>
          <w:b/>
          <w:sz w:val="24"/>
          <w:szCs w:val="24"/>
        </w:rPr>
        <w:t>Why is the Targeted Men W program happening, and who is it for?</w:t>
      </w:r>
    </w:p>
    <w:p w:rsidR="00273327" w:rsidRPr="007E3AD0" w:rsidRDefault="00273327" w:rsidP="009368D5">
      <w:pPr>
        <w:spacing w:after="0"/>
        <w:rPr>
          <w:rFonts w:ascii="Arial Narrow" w:hAnsi="Arial Narrow"/>
          <w:sz w:val="24"/>
          <w:szCs w:val="24"/>
        </w:rPr>
      </w:pPr>
      <w:r w:rsidRPr="007E3AD0">
        <w:rPr>
          <w:rFonts w:ascii="Arial Narrow" w:hAnsi="Arial Narrow"/>
          <w:sz w:val="24"/>
          <w:szCs w:val="24"/>
        </w:rPr>
        <w:lastRenderedPageBreak/>
        <w:t xml:space="preserve">This program is being offered in in response to the Meningococcal W outbreak in the Northern Territory and South Australia. To protect the communities close to the state borders of the Northern Territory and South Australia and slow or stop the spread of the outbreak, vaccination is being offered to </w:t>
      </w:r>
      <w:r w:rsidRPr="007E3AD0">
        <w:rPr>
          <w:rFonts w:ascii="Arial Narrow" w:hAnsi="Arial Narrow"/>
          <w:b/>
          <w:i/>
          <w:sz w:val="24"/>
          <w:szCs w:val="24"/>
        </w:rPr>
        <w:t xml:space="preserve">every person over the age of 2 months, </w:t>
      </w:r>
      <w:r w:rsidRPr="007E3AD0">
        <w:rPr>
          <w:rFonts w:ascii="Arial Narrow" w:hAnsi="Arial Narrow"/>
          <w:sz w:val="24"/>
          <w:szCs w:val="24"/>
        </w:rPr>
        <w:t>tha</w:t>
      </w:r>
      <w:r w:rsidR="009368D5" w:rsidRPr="007E3AD0">
        <w:rPr>
          <w:rFonts w:ascii="Arial Narrow" w:hAnsi="Arial Narrow"/>
          <w:sz w:val="24"/>
          <w:szCs w:val="24"/>
        </w:rPr>
        <w:t xml:space="preserve">t lives in the following remote </w:t>
      </w:r>
      <w:r w:rsidRPr="007E3AD0">
        <w:rPr>
          <w:rFonts w:ascii="Arial Narrow" w:hAnsi="Arial Narrow"/>
          <w:sz w:val="24"/>
          <w:szCs w:val="24"/>
        </w:rPr>
        <w:t xml:space="preserve">communities: </w:t>
      </w:r>
      <w:r w:rsidR="009368D5" w:rsidRPr="007E3AD0">
        <w:rPr>
          <w:rFonts w:ascii="Arial Narrow" w:hAnsi="Arial Narrow"/>
          <w:iCs/>
          <w:sz w:val="24"/>
          <w:szCs w:val="24"/>
        </w:rPr>
        <w:t xml:space="preserve">Ngaanyatjarra Lands and </w:t>
      </w:r>
      <w:r w:rsidR="009368D5" w:rsidRPr="007E3AD0">
        <w:rPr>
          <w:rFonts w:ascii="Arial Narrow" w:hAnsi="Arial Narrow"/>
          <w:bCs/>
          <w:sz w:val="24"/>
          <w:szCs w:val="24"/>
        </w:rPr>
        <w:t>Tjuntjuntjara</w:t>
      </w:r>
      <w:r w:rsidR="009368D5" w:rsidRPr="007E3AD0">
        <w:rPr>
          <w:rFonts w:ascii="Arial Narrow" w:hAnsi="Arial Narrow"/>
          <w:iCs/>
          <w:sz w:val="24"/>
          <w:szCs w:val="24"/>
        </w:rPr>
        <w:t xml:space="preserve"> (Goldfields); Balgo, Bililuna, Mulan and Kundat Jaru/Ringer Soak (Kimberley); and Punmu, </w:t>
      </w:r>
      <w:r w:rsidR="009368D5" w:rsidRPr="007E3AD0">
        <w:rPr>
          <w:rFonts w:ascii="Arial Narrow" w:hAnsi="Arial Narrow"/>
          <w:bCs/>
          <w:sz w:val="24"/>
          <w:szCs w:val="24"/>
        </w:rPr>
        <w:t>Kunawarritji, Jigalong and Parnngurr/Cotton Creek</w:t>
      </w:r>
      <w:r w:rsidR="009368D5" w:rsidRPr="007E3AD0">
        <w:rPr>
          <w:rFonts w:ascii="Arial Narrow" w:hAnsi="Arial Narrow"/>
          <w:iCs/>
          <w:sz w:val="24"/>
          <w:szCs w:val="24"/>
        </w:rPr>
        <w:t xml:space="preserve"> (Pilbara).</w:t>
      </w:r>
    </w:p>
    <w:p w:rsidR="00273327" w:rsidRPr="007E3AD0" w:rsidRDefault="00273327" w:rsidP="009368D5">
      <w:pPr>
        <w:spacing w:after="0"/>
        <w:rPr>
          <w:rFonts w:ascii="Arial Narrow" w:hAnsi="Arial Narrow"/>
          <w:b/>
          <w:sz w:val="24"/>
          <w:szCs w:val="24"/>
        </w:rPr>
      </w:pPr>
      <w:r w:rsidRPr="007E3AD0">
        <w:rPr>
          <w:rFonts w:ascii="Arial Narrow" w:hAnsi="Arial Narrow"/>
          <w:b/>
          <w:sz w:val="24"/>
          <w:szCs w:val="24"/>
        </w:rPr>
        <w:t>What vaccines are being used, and how safe are they?</w:t>
      </w:r>
    </w:p>
    <w:p w:rsidR="00273327" w:rsidRPr="007E3AD0" w:rsidRDefault="00273327" w:rsidP="00273327">
      <w:pPr>
        <w:rPr>
          <w:rFonts w:ascii="Arial Narrow" w:hAnsi="Arial Narrow"/>
          <w:sz w:val="24"/>
          <w:szCs w:val="24"/>
        </w:rPr>
      </w:pPr>
      <w:r w:rsidRPr="007E3AD0">
        <w:rPr>
          <w:rFonts w:ascii="Arial Narrow" w:hAnsi="Arial Narrow"/>
          <w:noProof/>
          <w:sz w:val="24"/>
          <w:szCs w:val="24"/>
          <w:lang w:eastAsia="en-AU"/>
        </w:rPr>
        <mc:AlternateContent>
          <mc:Choice Requires="wps">
            <w:drawing>
              <wp:anchor distT="0" distB="0" distL="114300" distR="114300" simplePos="0" relativeHeight="251659264" behindDoc="0" locked="0" layoutInCell="1" allowOverlap="1" wp14:anchorId="1CA0A1E1" wp14:editId="596EE66A">
                <wp:simplePos x="0" y="0"/>
                <wp:positionH relativeFrom="column">
                  <wp:posOffset>5628032</wp:posOffset>
                </wp:positionH>
                <wp:positionV relativeFrom="paragraph">
                  <wp:posOffset>696531</wp:posOffset>
                </wp:positionV>
                <wp:extent cx="4155157" cy="1436915"/>
                <wp:effectExtent l="0" t="0" r="1714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5157" cy="1436915"/>
                        </a:xfrm>
                        <a:prstGeom prst="rect">
                          <a:avLst/>
                        </a:prstGeom>
                        <a:solidFill>
                          <a:srgbClr val="FFFFFF"/>
                        </a:solidFill>
                        <a:ln w="9525">
                          <a:solidFill>
                            <a:srgbClr val="000000"/>
                          </a:solidFill>
                          <a:miter lim="800000"/>
                          <a:headEnd/>
                          <a:tailEnd/>
                        </a:ln>
                      </wps:spPr>
                      <wps:txbx>
                        <w:txbxContent>
                          <w:p w:rsidR="00273327" w:rsidRPr="007E3AD0" w:rsidRDefault="00273327" w:rsidP="00273327">
                            <w:pPr>
                              <w:rPr>
                                <w:rFonts w:ascii="Arial Narrow" w:hAnsi="Arial Narrow"/>
                                <w:sz w:val="24"/>
                                <w:szCs w:val="24"/>
                              </w:rPr>
                            </w:pPr>
                            <w:r w:rsidRPr="007E3AD0">
                              <w:rPr>
                                <w:rFonts w:ascii="Arial Narrow" w:hAnsi="Arial Narrow"/>
                                <w:sz w:val="24"/>
                                <w:szCs w:val="24"/>
                              </w:rPr>
                              <w:t>Tell the client: If you or your child has a bad side effect after having this vaccine, you should go immediately to your community clinic and see your nurse or Doctor.</w:t>
                            </w:r>
                          </w:p>
                          <w:p w:rsidR="00273327" w:rsidRPr="007E3AD0" w:rsidRDefault="00273327" w:rsidP="00273327">
                            <w:pPr>
                              <w:rPr>
                                <w:rFonts w:ascii="Arial Narrow" w:hAnsi="Arial Narrow"/>
                                <w:sz w:val="24"/>
                                <w:szCs w:val="24"/>
                              </w:rPr>
                            </w:pPr>
                            <w:r w:rsidRPr="007E3AD0">
                              <w:rPr>
                                <w:rFonts w:ascii="Arial Narrow" w:hAnsi="Arial Narrow"/>
                                <w:sz w:val="24"/>
                                <w:szCs w:val="24"/>
                              </w:rPr>
                              <w:t xml:space="preserve">Clinicians and </w:t>
                            </w:r>
                            <w:r w:rsidR="00A0146B" w:rsidRPr="007E3AD0">
                              <w:rPr>
                                <w:rFonts w:ascii="Arial Narrow" w:hAnsi="Arial Narrow"/>
                                <w:sz w:val="24"/>
                                <w:szCs w:val="24"/>
                              </w:rPr>
                              <w:t>consumers can</w:t>
                            </w:r>
                            <w:r w:rsidRPr="007E3AD0">
                              <w:rPr>
                                <w:rFonts w:ascii="Arial Narrow" w:hAnsi="Arial Narrow"/>
                                <w:sz w:val="24"/>
                                <w:szCs w:val="24"/>
                              </w:rPr>
                              <w:t xml:space="preserve"> also report a bad side effect on the Western Australian Vaccination Safety Surveillance (WAVSS) system at </w:t>
                            </w:r>
                            <w:hyperlink r:id="rId8" w:history="1">
                              <w:r w:rsidR="007E3AD0" w:rsidRPr="00C751BE">
                                <w:rPr>
                                  <w:rStyle w:val="Hyperlink"/>
                                  <w:rFonts w:ascii="Arial Narrow" w:hAnsi="Arial Narrow"/>
                                  <w:sz w:val="24"/>
                                  <w:szCs w:val="24"/>
                                </w:rPr>
                                <w:t>www.wavss.health.wa.gov.au</w:t>
                              </w:r>
                            </w:hyperlink>
                            <w:r w:rsidR="007E3AD0">
                              <w:rPr>
                                <w:rFonts w:ascii="Arial Narrow" w:hAnsi="Arial Narrow"/>
                                <w:sz w:val="24"/>
                                <w:szCs w:val="24"/>
                              </w:rPr>
                              <w:t xml:space="preserve"> </w:t>
                            </w:r>
                            <w:r w:rsidRPr="007E3AD0">
                              <w:rPr>
                                <w:rFonts w:ascii="Arial Narrow" w:hAnsi="Arial Narrow"/>
                                <w:sz w:val="24"/>
                                <w:szCs w:val="24"/>
                              </w:rPr>
                              <w:t xml:space="preserve"> (24 hours a day, 7 days a 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3.15pt;margin-top:54.85pt;width:327.2pt;height:11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">
                <v:textbox>
                  <w:txbxContent>
                    <w:p w:rsidR="00273327" w:rsidRPr="007E3AD0" w:rsidRDefault="00273327" w:rsidP="00273327">
                      <w:pPr>
                        <w:rPr>
                          <w:rFonts w:ascii="Arial Narrow" w:hAnsi="Arial Narrow"/>
                          <w:sz w:val="24"/>
                          <w:szCs w:val="24"/>
                        </w:rPr>
                      </w:pPr>
                      <w:r w:rsidRPr="007E3AD0">
                        <w:rPr>
                          <w:rFonts w:ascii="Arial Narrow" w:hAnsi="Arial Narrow"/>
                          <w:sz w:val="24"/>
                          <w:szCs w:val="24"/>
                        </w:rPr>
                        <w:t>Tell the client: If you or your child has a bad side effect after having this vaccine, you should go immediately to your community clinic and see your nurse or Doctor.</w:t>
                      </w:r>
                    </w:p>
                    <w:p w:rsidR="00273327" w:rsidRPr="007E3AD0" w:rsidRDefault="00273327" w:rsidP="00273327">
                      <w:pPr>
                        <w:rPr>
                          <w:rFonts w:ascii="Arial Narrow" w:hAnsi="Arial Narrow"/>
                          <w:sz w:val="24"/>
                          <w:szCs w:val="24"/>
                        </w:rPr>
                      </w:pPr>
                      <w:r w:rsidRPr="007E3AD0">
                        <w:rPr>
                          <w:rFonts w:ascii="Arial Narrow" w:hAnsi="Arial Narrow"/>
                          <w:sz w:val="24"/>
                          <w:szCs w:val="24"/>
                        </w:rPr>
                        <w:t xml:space="preserve">Clinicians and </w:t>
                      </w:r>
                      <w:r w:rsidR="00A0146B" w:rsidRPr="007E3AD0">
                        <w:rPr>
                          <w:rFonts w:ascii="Arial Narrow" w:hAnsi="Arial Narrow"/>
                          <w:sz w:val="24"/>
                          <w:szCs w:val="24"/>
                        </w:rPr>
                        <w:t>consumers can</w:t>
                      </w:r>
                      <w:r w:rsidRPr="007E3AD0">
                        <w:rPr>
                          <w:rFonts w:ascii="Arial Narrow" w:hAnsi="Arial Narrow"/>
                          <w:sz w:val="24"/>
                          <w:szCs w:val="24"/>
                        </w:rPr>
                        <w:t xml:space="preserve"> also report a bad side effect on the Western Australian Vaccination Safety Surveillance (WAVSS) system at </w:t>
                      </w:r>
                      <w:hyperlink r:id="rId9" w:history="1">
                        <w:r w:rsidR="007E3AD0" w:rsidRPr="00C751BE">
                          <w:rPr>
                            <w:rStyle w:val="Hyperlink"/>
                            <w:rFonts w:ascii="Arial Narrow" w:hAnsi="Arial Narrow"/>
                            <w:sz w:val="24"/>
                            <w:szCs w:val="24"/>
                          </w:rPr>
                          <w:t>www.wavss.health.wa.gov.au</w:t>
                        </w:r>
                      </w:hyperlink>
                      <w:r w:rsidR="007E3AD0">
                        <w:rPr>
                          <w:rFonts w:ascii="Arial Narrow" w:hAnsi="Arial Narrow"/>
                          <w:sz w:val="24"/>
                          <w:szCs w:val="24"/>
                        </w:rPr>
                        <w:t xml:space="preserve"> </w:t>
                      </w:r>
                      <w:r w:rsidRPr="007E3AD0">
                        <w:rPr>
                          <w:rFonts w:ascii="Arial Narrow" w:hAnsi="Arial Narrow"/>
                          <w:sz w:val="24"/>
                          <w:szCs w:val="24"/>
                        </w:rPr>
                        <w:t xml:space="preserve"> (24 hours a day, 7 days a week)</w:t>
                      </w:r>
                    </w:p>
                  </w:txbxContent>
                </v:textbox>
              </v:shape>
            </w:pict>
          </mc:Fallback>
        </mc:AlternateContent>
      </w:r>
      <w:r w:rsidRPr="007E3AD0">
        <w:rPr>
          <w:rFonts w:ascii="Arial Narrow" w:hAnsi="Arial Narrow"/>
          <w:sz w:val="24"/>
          <w:szCs w:val="24"/>
        </w:rPr>
        <w:t xml:space="preserve">The vaccines being used are Meningococcal vaccines called </w:t>
      </w:r>
      <w:proofErr w:type="spellStart"/>
      <w:r w:rsidRPr="007E3AD0">
        <w:rPr>
          <w:rFonts w:ascii="Arial Narrow" w:hAnsi="Arial Narrow"/>
          <w:sz w:val="24"/>
          <w:szCs w:val="24"/>
        </w:rPr>
        <w:t>Menveo</w:t>
      </w:r>
      <w:proofErr w:type="spellEnd"/>
      <w:r w:rsidRPr="007E3AD0">
        <w:rPr>
          <w:rFonts w:ascii="Arial Narrow" w:hAnsi="Arial Narrow"/>
          <w:sz w:val="24"/>
          <w:szCs w:val="24"/>
        </w:rPr>
        <w:t xml:space="preserve"> and </w:t>
      </w:r>
      <w:r w:rsidR="007E3AD0" w:rsidRPr="007E3AD0">
        <w:rPr>
          <w:rFonts w:ascii="Arial Narrow" w:hAnsi="Arial Narrow"/>
          <w:sz w:val="24"/>
          <w:szCs w:val="24"/>
        </w:rPr>
        <w:t>NIMENRIX</w:t>
      </w:r>
      <w:r w:rsidRPr="007E3AD0">
        <w:rPr>
          <w:rFonts w:ascii="Arial Narrow" w:hAnsi="Arial Narrow"/>
          <w:sz w:val="24"/>
          <w:szCs w:val="24"/>
        </w:rPr>
        <w:t xml:space="preserve">. Both vaccines cover the A, C, W and Y strains of Meningococcal. </w:t>
      </w:r>
      <w:proofErr w:type="spellStart"/>
      <w:r w:rsidRPr="007E3AD0">
        <w:rPr>
          <w:rFonts w:ascii="Arial Narrow" w:hAnsi="Arial Narrow"/>
          <w:sz w:val="24"/>
          <w:szCs w:val="24"/>
        </w:rPr>
        <w:t>Menveo</w:t>
      </w:r>
      <w:proofErr w:type="spellEnd"/>
      <w:r w:rsidRPr="007E3AD0">
        <w:rPr>
          <w:rFonts w:ascii="Arial Narrow" w:hAnsi="Arial Narrow"/>
          <w:sz w:val="24"/>
          <w:szCs w:val="24"/>
        </w:rPr>
        <w:t xml:space="preserve"> is used for all children under the age of 1 year, and multiple doses of the vaccine will be needed. </w:t>
      </w:r>
      <w:r w:rsidR="007E3AD0" w:rsidRPr="007E3AD0">
        <w:rPr>
          <w:rFonts w:ascii="Arial Narrow" w:hAnsi="Arial Narrow"/>
          <w:sz w:val="24"/>
          <w:szCs w:val="24"/>
        </w:rPr>
        <w:t xml:space="preserve">NIMENRIX </w:t>
      </w:r>
      <w:r w:rsidRPr="007E3AD0">
        <w:rPr>
          <w:rFonts w:ascii="Arial Narrow" w:hAnsi="Arial Narrow"/>
          <w:sz w:val="24"/>
          <w:szCs w:val="24"/>
        </w:rPr>
        <w:t xml:space="preserve">is used for every person over the age of 1 </w:t>
      </w:r>
      <w:proofErr w:type="gramStart"/>
      <w:r w:rsidRPr="007E3AD0">
        <w:rPr>
          <w:rFonts w:ascii="Arial Narrow" w:hAnsi="Arial Narrow"/>
          <w:sz w:val="24"/>
          <w:szCs w:val="24"/>
        </w:rPr>
        <w:t>years</w:t>
      </w:r>
      <w:proofErr w:type="gramEnd"/>
      <w:r w:rsidRPr="007E3AD0">
        <w:rPr>
          <w:rFonts w:ascii="Arial Narrow" w:hAnsi="Arial Narrow"/>
          <w:sz w:val="24"/>
          <w:szCs w:val="24"/>
        </w:rPr>
        <w:t xml:space="preserve"> old, and just 1 dose is needed. Both </w:t>
      </w:r>
      <w:proofErr w:type="spellStart"/>
      <w:r w:rsidRPr="007E3AD0">
        <w:rPr>
          <w:rFonts w:ascii="Arial Narrow" w:hAnsi="Arial Narrow"/>
          <w:sz w:val="24"/>
          <w:szCs w:val="24"/>
        </w:rPr>
        <w:t>Menveo</w:t>
      </w:r>
      <w:proofErr w:type="spellEnd"/>
      <w:r w:rsidRPr="007E3AD0">
        <w:rPr>
          <w:rFonts w:ascii="Arial Narrow" w:hAnsi="Arial Narrow"/>
          <w:sz w:val="24"/>
          <w:szCs w:val="24"/>
        </w:rPr>
        <w:t xml:space="preserve"> and </w:t>
      </w:r>
      <w:r w:rsidR="007E3AD0" w:rsidRPr="007E3AD0">
        <w:rPr>
          <w:rFonts w:ascii="Arial Narrow" w:hAnsi="Arial Narrow"/>
          <w:sz w:val="24"/>
          <w:szCs w:val="24"/>
        </w:rPr>
        <w:t xml:space="preserve">NIMENRIX </w:t>
      </w:r>
      <w:r w:rsidRPr="007E3AD0">
        <w:rPr>
          <w:rFonts w:ascii="Arial Narrow" w:hAnsi="Arial Narrow"/>
          <w:sz w:val="24"/>
          <w:szCs w:val="24"/>
        </w:rPr>
        <w:t>are considered safe and well tolerated. However, all medicines can have side effects. These are usually mild and go away by themselves. Serious side effects are possible, but are rare.</w:t>
      </w:r>
      <w:r w:rsidR="007E3AD0">
        <w:rPr>
          <w:rFonts w:ascii="Arial Narrow" w:hAnsi="Arial Narrow"/>
          <w:sz w:val="24"/>
          <w:szCs w:val="24"/>
        </w:rPr>
        <w:t xml:space="preserve">  </w:t>
      </w:r>
      <w:r w:rsidRPr="007E3AD0">
        <w:rPr>
          <w:rFonts w:ascii="Arial Narrow" w:hAnsi="Arial Narrow"/>
          <w:sz w:val="24"/>
          <w:szCs w:val="24"/>
        </w:rPr>
        <w:t>Some common side effects of the MenW vaccines can be:</w:t>
      </w:r>
    </w:p>
    <w:p w:rsidR="00273327" w:rsidRPr="007E3AD0" w:rsidRDefault="00273327" w:rsidP="007E3AD0">
      <w:pPr>
        <w:pStyle w:val="ListParagraph"/>
        <w:numPr>
          <w:ilvl w:val="0"/>
          <w:numId w:val="7"/>
        </w:numPr>
        <w:rPr>
          <w:rFonts w:ascii="Arial Narrow" w:hAnsi="Arial Narrow"/>
          <w:sz w:val="24"/>
          <w:szCs w:val="24"/>
        </w:rPr>
      </w:pPr>
      <w:r w:rsidRPr="007E3AD0">
        <w:rPr>
          <w:rFonts w:ascii="Arial Narrow" w:hAnsi="Arial Narrow"/>
          <w:sz w:val="24"/>
          <w:szCs w:val="24"/>
        </w:rPr>
        <w:t>Pain and swelling at injection site</w:t>
      </w:r>
    </w:p>
    <w:p w:rsidR="00273327" w:rsidRPr="007E3AD0" w:rsidRDefault="00273327" w:rsidP="007E3AD0">
      <w:pPr>
        <w:pStyle w:val="ListParagraph"/>
        <w:numPr>
          <w:ilvl w:val="0"/>
          <w:numId w:val="7"/>
        </w:numPr>
        <w:rPr>
          <w:rFonts w:ascii="Arial Narrow" w:hAnsi="Arial Narrow"/>
          <w:sz w:val="24"/>
          <w:szCs w:val="24"/>
        </w:rPr>
      </w:pPr>
      <w:r w:rsidRPr="007E3AD0">
        <w:rPr>
          <w:rFonts w:ascii="Arial Narrow" w:hAnsi="Arial Narrow"/>
          <w:sz w:val="24"/>
          <w:szCs w:val="24"/>
        </w:rPr>
        <w:t>Headache</w:t>
      </w:r>
    </w:p>
    <w:p w:rsidR="00273327" w:rsidRPr="007E3AD0" w:rsidRDefault="00A0146B" w:rsidP="007E3AD0">
      <w:pPr>
        <w:pStyle w:val="ListParagraph"/>
        <w:numPr>
          <w:ilvl w:val="0"/>
          <w:numId w:val="7"/>
        </w:numPr>
        <w:rPr>
          <w:rFonts w:ascii="Arial Narrow" w:hAnsi="Arial Narrow"/>
          <w:sz w:val="24"/>
          <w:szCs w:val="24"/>
        </w:rPr>
      </w:pPr>
      <w:r w:rsidRPr="007E3AD0">
        <w:rPr>
          <w:rFonts w:ascii="Arial Narrow" w:hAnsi="Arial Narrow"/>
          <w:sz w:val="24"/>
          <w:szCs w:val="24"/>
        </w:rPr>
        <w:t>N</w:t>
      </w:r>
      <w:r w:rsidR="00273327" w:rsidRPr="007E3AD0">
        <w:rPr>
          <w:rFonts w:ascii="Arial Narrow" w:hAnsi="Arial Narrow"/>
          <w:sz w:val="24"/>
          <w:szCs w:val="24"/>
        </w:rPr>
        <w:t>ausea or stomach pains</w:t>
      </w:r>
    </w:p>
    <w:p w:rsidR="00273327" w:rsidRPr="007E3AD0" w:rsidRDefault="00273327" w:rsidP="007E3AD0">
      <w:pPr>
        <w:pStyle w:val="ListParagraph"/>
        <w:numPr>
          <w:ilvl w:val="0"/>
          <w:numId w:val="7"/>
        </w:numPr>
        <w:rPr>
          <w:rFonts w:ascii="Arial Narrow" w:hAnsi="Arial Narrow"/>
          <w:sz w:val="24"/>
          <w:szCs w:val="24"/>
        </w:rPr>
      </w:pPr>
      <w:r w:rsidRPr="007E3AD0">
        <w:rPr>
          <w:rFonts w:ascii="Arial Narrow" w:hAnsi="Arial Narrow"/>
          <w:sz w:val="24"/>
          <w:szCs w:val="24"/>
        </w:rPr>
        <w:t>Muscle or joint pain</w:t>
      </w:r>
    </w:p>
    <w:p w:rsidR="00192301" w:rsidRPr="007E3AD0" w:rsidRDefault="00273327" w:rsidP="007E3AD0">
      <w:pPr>
        <w:pStyle w:val="ListParagraph"/>
        <w:numPr>
          <w:ilvl w:val="0"/>
          <w:numId w:val="7"/>
        </w:numPr>
        <w:rPr>
          <w:rFonts w:ascii="Arial Narrow" w:hAnsi="Arial Narrow"/>
          <w:b/>
          <w:sz w:val="24"/>
          <w:szCs w:val="24"/>
        </w:rPr>
      </w:pPr>
      <w:r w:rsidRPr="007E3AD0">
        <w:rPr>
          <w:rFonts w:ascii="Arial Narrow" w:hAnsi="Arial Narrow"/>
          <w:sz w:val="24"/>
          <w:szCs w:val="24"/>
        </w:rPr>
        <w:t>Rash</w:t>
      </w:r>
    </w:p>
    <w:p w:rsidR="007E3AD0" w:rsidRDefault="007E3AD0" w:rsidP="00273327">
      <w:pPr>
        <w:rPr>
          <w:rFonts w:ascii="Arial Narrow" w:hAnsi="Arial Narrow"/>
          <w:b/>
          <w:sz w:val="24"/>
          <w:szCs w:val="24"/>
        </w:rPr>
      </w:pPr>
    </w:p>
    <w:p w:rsidR="00273327" w:rsidRPr="007E3AD0" w:rsidRDefault="00273327" w:rsidP="00273327">
      <w:pPr>
        <w:rPr>
          <w:rFonts w:ascii="Arial Narrow" w:hAnsi="Arial Narrow"/>
          <w:b/>
          <w:sz w:val="24"/>
          <w:szCs w:val="24"/>
        </w:rPr>
      </w:pPr>
      <w:r w:rsidRPr="007E3AD0">
        <w:rPr>
          <w:rFonts w:ascii="Arial Narrow" w:hAnsi="Arial Narrow"/>
          <w:b/>
          <w:sz w:val="24"/>
          <w:szCs w:val="24"/>
        </w:rPr>
        <w:t>The following pre-vaccination checklist must be used to consent each individual person receiving vaccine</w:t>
      </w:r>
      <w:r w:rsidR="0065671E" w:rsidRPr="007E3AD0">
        <w:rPr>
          <w:rFonts w:ascii="Arial Narrow" w:hAnsi="Arial Narrow"/>
          <w:b/>
          <w:sz w:val="24"/>
          <w:szCs w:val="24"/>
        </w:rPr>
        <w:t xml:space="preserve">. </w:t>
      </w:r>
      <w:r w:rsidRPr="007E3AD0">
        <w:rPr>
          <w:rFonts w:ascii="Arial Narrow" w:hAnsi="Arial Narrow"/>
          <w:b/>
          <w:sz w:val="24"/>
          <w:szCs w:val="24"/>
        </w:rPr>
        <w:t xml:space="preserve">The </w:t>
      </w:r>
      <w:r w:rsidR="00333531" w:rsidRPr="007E3AD0">
        <w:rPr>
          <w:rFonts w:ascii="Arial Narrow" w:hAnsi="Arial Narrow"/>
          <w:b/>
          <w:sz w:val="24"/>
          <w:szCs w:val="24"/>
        </w:rPr>
        <w:t>Public Health Unit</w:t>
      </w:r>
      <w:r w:rsidRPr="007E3AD0">
        <w:rPr>
          <w:rFonts w:ascii="Arial Narrow" w:hAnsi="Arial Narrow"/>
          <w:b/>
          <w:sz w:val="24"/>
          <w:szCs w:val="24"/>
        </w:rPr>
        <w:t xml:space="preserve"> is available for further advice</w:t>
      </w:r>
      <w:r w:rsidR="00DB7F1A">
        <w:rPr>
          <w:rFonts w:ascii="Arial Narrow" w:hAnsi="Arial Narrow"/>
          <w:b/>
          <w:sz w:val="24"/>
          <w:szCs w:val="24"/>
        </w:rPr>
        <w:t xml:space="preserve">, contact details at </w:t>
      </w:r>
      <w:hyperlink r:id="rId10" w:history="1">
        <w:r w:rsidR="00DB7F1A" w:rsidRPr="0059312D">
          <w:rPr>
            <w:rStyle w:val="Hyperlink"/>
            <w:rFonts w:ascii="Arial Narrow" w:hAnsi="Arial Narrow"/>
            <w:b/>
            <w:sz w:val="24"/>
            <w:szCs w:val="24"/>
          </w:rPr>
          <w:t>http://www.healthywa.wa.gov.au/publichealthunits</w:t>
        </w:r>
      </w:hyperlink>
      <w:bookmarkStart w:id="0" w:name="_GoBack"/>
      <w:bookmarkEnd w:id="0"/>
      <w:r w:rsidR="0065671E" w:rsidRPr="007E3AD0">
        <w:rPr>
          <w:rFonts w:ascii="Arial Narrow" w:hAnsi="Arial Narrow"/>
          <w:b/>
          <w:sz w:val="24"/>
          <w:szCs w:val="24"/>
        </w:rPr>
        <w:t>.</w:t>
      </w:r>
      <w:r w:rsidR="00192301" w:rsidRPr="007E3AD0">
        <w:rPr>
          <w:rFonts w:ascii="Arial Narrow" w:hAnsi="Arial Narrow"/>
          <w:b/>
          <w:sz w:val="24"/>
          <w:szCs w:val="24"/>
        </w:rPr>
        <w:t xml:space="preserve"> </w:t>
      </w:r>
      <w:r w:rsidRPr="007E3AD0">
        <w:rPr>
          <w:rFonts w:ascii="Arial Narrow" w:hAnsi="Arial Narrow"/>
          <w:b/>
          <w:sz w:val="24"/>
          <w:szCs w:val="24"/>
        </w:rPr>
        <w:t xml:space="preserve">Is the person receiving the </w:t>
      </w:r>
      <w:proofErr w:type="gramStart"/>
      <w:r w:rsidRPr="007E3AD0">
        <w:rPr>
          <w:rFonts w:ascii="Arial Narrow" w:hAnsi="Arial Narrow"/>
          <w:b/>
          <w:sz w:val="24"/>
          <w:szCs w:val="24"/>
        </w:rPr>
        <w:t>vaccine:</w:t>
      </w:r>
      <w:proofErr w:type="gramEnd"/>
      <w:r w:rsidRPr="007E3AD0">
        <w:rPr>
          <w:rFonts w:ascii="Arial Narrow" w:hAnsi="Arial Narrow" w:cs="Arial"/>
          <w:sz w:val="24"/>
          <w:szCs w:val="24"/>
        </w:rPr>
        <w:t xml:space="preserve"> </w:t>
      </w:r>
    </w:p>
    <w:p w:rsidR="00273327" w:rsidRPr="007E3AD0" w:rsidRDefault="00273327" w:rsidP="00273327">
      <w:pPr>
        <w:pStyle w:val="Default"/>
        <w:numPr>
          <w:ilvl w:val="0"/>
          <w:numId w:val="6"/>
        </w:numPr>
        <w:rPr>
          <w:rFonts w:ascii="Arial Narrow" w:hAnsi="Arial Narrow" w:cs="Arial"/>
        </w:rPr>
      </w:pPr>
      <w:r w:rsidRPr="007E3AD0">
        <w:rPr>
          <w:rFonts w:ascii="Arial Narrow" w:hAnsi="Arial Narrow" w:cs="Arial"/>
        </w:rPr>
        <w:t>unwell today with a fever &gt;38 degrees</w:t>
      </w:r>
    </w:p>
    <w:p w:rsidR="0065671E" w:rsidRPr="007E3AD0" w:rsidRDefault="007E3AD0" w:rsidP="0065671E">
      <w:pPr>
        <w:pStyle w:val="ListParagraph"/>
        <w:numPr>
          <w:ilvl w:val="0"/>
          <w:numId w:val="6"/>
        </w:numPr>
        <w:rPr>
          <w:rFonts w:ascii="Arial Narrow" w:hAnsi="Arial Narrow" w:cs="Arial"/>
          <w:color w:val="000000"/>
          <w:sz w:val="24"/>
          <w:szCs w:val="24"/>
        </w:rPr>
      </w:pPr>
      <w:r w:rsidRPr="007E3AD0">
        <w:rPr>
          <w:rFonts w:ascii="Arial Narrow" w:hAnsi="Arial Narrow" w:cs="Arial"/>
          <w:b/>
          <w:color w:val="000000"/>
          <w:sz w:val="24"/>
          <w:szCs w:val="24"/>
        </w:rPr>
        <w:t>Allergic</w:t>
      </w:r>
      <w:r w:rsidRPr="007E3AD0">
        <w:rPr>
          <w:rFonts w:ascii="Arial Narrow" w:hAnsi="Arial Narrow" w:cs="Arial"/>
          <w:color w:val="000000"/>
          <w:sz w:val="24"/>
          <w:szCs w:val="24"/>
        </w:rPr>
        <w:t xml:space="preserve"> </w:t>
      </w:r>
      <w:r w:rsidR="0065671E" w:rsidRPr="007E3AD0">
        <w:rPr>
          <w:rFonts w:ascii="Arial Narrow" w:hAnsi="Arial Narrow" w:cs="Arial"/>
          <w:color w:val="000000"/>
          <w:sz w:val="24"/>
          <w:szCs w:val="24"/>
        </w:rPr>
        <w:t>to any component of the vaccine or history of reaction to vaccinations</w:t>
      </w:r>
    </w:p>
    <w:p w:rsidR="00273327" w:rsidRPr="007E3AD0" w:rsidRDefault="00273327" w:rsidP="00273327">
      <w:pPr>
        <w:pStyle w:val="Default"/>
        <w:numPr>
          <w:ilvl w:val="0"/>
          <w:numId w:val="6"/>
        </w:numPr>
        <w:rPr>
          <w:rFonts w:ascii="Arial Narrow" w:hAnsi="Arial Narrow" w:cs="Arial"/>
        </w:rPr>
      </w:pPr>
      <w:r w:rsidRPr="007E3AD0">
        <w:rPr>
          <w:rFonts w:ascii="Arial Narrow" w:hAnsi="Arial Narrow" w:cs="Arial"/>
        </w:rPr>
        <w:t xml:space="preserve">has a chronic illness (discuss with nurse as may need additional doses) </w:t>
      </w:r>
    </w:p>
    <w:p w:rsidR="00273327" w:rsidRPr="007E3AD0" w:rsidRDefault="00273327" w:rsidP="00DF5D5C">
      <w:pPr>
        <w:pStyle w:val="Default"/>
        <w:numPr>
          <w:ilvl w:val="0"/>
          <w:numId w:val="6"/>
        </w:numPr>
        <w:rPr>
          <w:rFonts w:ascii="Arial Narrow" w:hAnsi="Arial Narrow" w:cs="Arial"/>
        </w:rPr>
      </w:pPr>
      <w:r w:rsidRPr="007E3AD0">
        <w:rPr>
          <w:rFonts w:ascii="Arial Narrow" w:hAnsi="Arial Narrow" w:cs="Arial"/>
        </w:rPr>
        <w:t>has a bleeding disorder: may develop haematomas at IM injection site</w:t>
      </w:r>
    </w:p>
    <w:p w:rsidR="004B1081" w:rsidRPr="007E3AD0" w:rsidRDefault="005B090A" w:rsidP="004B1081">
      <w:pPr>
        <w:pStyle w:val="Default"/>
        <w:numPr>
          <w:ilvl w:val="0"/>
          <w:numId w:val="6"/>
        </w:numPr>
        <w:rPr>
          <w:rFonts w:ascii="Arial Narrow" w:hAnsi="Arial Narrow" w:cs="Arial"/>
        </w:rPr>
      </w:pPr>
      <w:r w:rsidRPr="007E3AD0">
        <w:rPr>
          <w:rFonts w:ascii="Arial Narrow" w:hAnsi="Arial Narrow" w:cs="Arial"/>
        </w:rPr>
        <w:t xml:space="preserve">Pregnant: </w:t>
      </w:r>
      <w:r w:rsidR="004B1081" w:rsidRPr="007E3AD0">
        <w:rPr>
          <w:rFonts w:ascii="Arial Narrow" w:hAnsi="Arial Narrow" w:cs="Arial"/>
        </w:rPr>
        <w:t>Use in Pregnancy and Breastfeeding.  There is limited experience using MenACWY vaccines in pregnant women. Studies in animals with NIMENRIX brand MenACWY vaccine do not indicate direct or indirect harmful effects with respect to pregnancy, embryo/foetal development, parturition or post-natal development. Still, MenACWY vaccines should be used during pregnancy only when clearly needed, i.e. if the patient is thought to be at increased risk of meningococcal disease, such as living in the communities that are part of the Targeted Regional WA MenW Outbreak Response, and the possible advantages outweigh the potential risks for the foetus.  Breast feeding women can be offered the vaccination</w:t>
      </w:r>
      <w:r w:rsidRPr="007E3AD0">
        <w:rPr>
          <w:rFonts w:ascii="Arial Narrow" w:hAnsi="Arial Narrow" w:cs="Arial"/>
        </w:rPr>
        <w:t>.</w:t>
      </w:r>
    </w:p>
    <w:p w:rsidR="007E3AD0" w:rsidRDefault="007E3AD0" w:rsidP="00192301">
      <w:pPr>
        <w:pStyle w:val="ListParagraph"/>
        <w:ind w:left="360"/>
        <w:rPr>
          <w:rFonts w:ascii="Arial Narrow" w:hAnsi="Arial Narrow" w:cs="Arial"/>
          <w:b/>
          <w:sz w:val="24"/>
          <w:szCs w:val="24"/>
        </w:rPr>
      </w:pPr>
    </w:p>
    <w:p w:rsidR="00D11D81" w:rsidRPr="007E3AD0" w:rsidRDefault="00273327" w:rsidP="00192301">
      <w:pPr>
        <w:pStyle w:val="ListParagraph"/>
        <w:ind w:left="360"/>
        <w:rPr>
          <w:rFonts w:ascii="Arial Narrow" w:hAnsi="Arial Narrow"/>
          <w:sz w:val="24"/>
          <w:szCs w:val="24"/>
        </w:rPr>
      </w:pPr>
      <w:r w:rsidRPr="007E3AD0">
        <w:rPr>
          <w:rFonts w:ascii="Arial Narrow" w:hAnsi="Arial Narrow" w:cs="Arial"/>
          <w:b/>
          <w:sz w:val="24"/>
          <w:szCs w:val="24"/>
        </w:rPr>
        <w:t>Once each person has been informed of the reason for the program, the vaccine safety and side effects, and has had their pre-vaccination checklist done, they can consent for the vaccine.</w:t>
      </w:r>
    </w:p>
    <w:sectPr w:rsidR="00D11D81" w:rsidRPr="007E3AD0" w:rsidSect="00D11D81">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E28" w:rsidRDefault="00821E28" w:rsidP="00251072">
      <w:pPr>
        <w:spacing w:after="0" w:line="240" w:lineRule="auto"/>
      </w:pPr>
      <w:r>
        <w:separator/>
      </w:r>
    </w:p>
  </w:endnote>
  <w:endnote w:type="continuationSeparator" w:id="0">
    <w:p w:rsidR="00821E28" w:rsidRDefault="00821E28" w:rsidP="00251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E28" w:rsidRDefault="00821E28" w:rsidP="00251072">
      <w:pPr>
        <w:spacing w:after="0" w:line="240" w:lineRule="auto"/>
      </w:pPr>
      <w:r>
        <w:separator/>
      </w:r>
    </w:p>
  </w:footnote>
  <w:footnote w:type="continuationSeparator" w:id="0">
    <w:p w:rsidR="00821E28" w:rsidRDefault="00821E28" w:rsidP="002510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FA3" w:rsidRPr="00FF534B" w:rsidRDefault="005B3EFB" w:rsidP="006D53E1">
    <w:pPr>
      <w:spacing w:after="0" w:line="240" w:lineRule="auto"/>
      <w:jc w:val="center"/>
      <w:rPr>
        <w:rFonts w:ascii="Arial" w:hAnsi="Arial" w:cs="Arial"/>
        <w:b/>
        <w:sz w:val="32"/>
        <w:szCs w:val="32"/>
      </w:rPr>
    </w:pPr>
    <w:r w:rsidRPr="00FF534B">
      <w:rPr>
        <w:rFonts w:ascii="Arial" w:hAnsi="Arial" w:cs="Arial"/>
        <w:noProof/>
        <w:lang w:eastAsia="en-AU"/>
      </w:rPr>
      <w:drawing>
        <wp:anchor distT="0" distB="0" distL="114300" distR="114300" simplePos="0" relativeHeight="251659264" behindDoc="0" locked="0" layoutInCell="1" allowOverlap="1" wp14:anchorId="7598EF77" wp14:editId="0727A85D">
          <wp:simplePos x="0" y="0"/>
          <wp:positionH relativeFrom="column">
            <wp:posOffset>-338455</wp:posOffset>
          </wp:positionH>
          <wp:positionV relativeFrom="paragraph">
            <wp:posOffset>-372361</wp:posOffset>
          </wp:positionV>
          <wp:extent cx="2643505" cy="479425"/>
          <wp:effectExtent l="0" t="0" r="4445" b="0"/>
          <wp:wrapNone/>
          <wp:docPr id="7" name="Picture 7" descr="Macintosh HD:Users:newuser:Dropbox:***WORK FOLDER 2013:WACHS Logos Jul2013:WACHS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ewuser:Dropbox:***WORK FOLDER 2013:WACHS Logos Jul2013:WACHS logo.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3505" cy="479425"/>
                  </a:xfrm>
                  <a:prstGeom prst="rect">
                    <a:avLst/>
                  </a:prstGeom>
                  <a:noFill/>
                  <a:ln>
                    <a:noFill/>
                  </a:ln>
                </pic:spPr>
              </pic:pic>
            </a:graphicData>
          </a:graphic>
          <wp14:sizeRelH relativeFrom="page">
            <wp14:pctWidth>0</wp14:pctWidth>
          </wp14:sizeRelH>
          <wp14:sizeRelV relativeFrom="page">
            <wp14:pctHeight>0</wp14:pctHeight>
          </wp14:sizeRelV>
        </wp:anchor>
      </w:drawing>
    </w:r>
    <w:r w:rsidR="00251072" w:rsidRPr="00FF534B">
      <w:rPr>
        <w:rFonts w:ascii="Arial" w:hAnsi="Arial" w:cs="Arial"/>
        <w:b/>
        <w:sz w:val="32"/>
        <w:szCs w:val="32"/>
      </w:rPr>
      <w:t>FORM:  Con</w:t>
    </w:r>
    <w:r w:rsidR="00960FA3" w:rsidRPr="00FF534B">
      <w:rPr>
        <w:rFonts w:ascii="Arial" w:hAnsi="Arial" w:cs="Arial"/>
        <w:b/>
        <w:sz w:val="32"/>
        <w:szCs w:val="32"/>
      </w:rPr>
      <w:t>sent Form and Vaccination Log</w:t>
    </w:r>
    <w:r w:rsidR="00D326A0" w:rsidRPr="00FF534B">
      <w:rPr>
        <w:rFonts w:ascii="Arial" w:hAnsi="Arial" w:cs="Arial"/>
        <w:b/>
        <w:sz w:val="32"/>
        <w:szCs w:val="32"/>
      </w:rPr>
      <w:t>, Targeted Regional WA MenW Outbreak Response</w:t>
    </w:r>
  </w:p>
  <w:p w:rsidR="00251072" w:rsidRPr="00FF534B" w:rsidRDefault="00251072" w:rsidP="006D53E1">
    <w:pPr>
      <w:spacing w:after="0" w:line="240" w:lineRule="auto"/>
      <w:jc w:val="center"/>
      <w:rPr>
        <w:rFonts w:ascii="Arial" w:hAnsi="Arial" w:cs="Arial"/>
        <w:b/>
        <w:sz w:val="32"/>
        <w:szCs w:val="32"/>
      </w:rPr>
    </w:pPr>
    <w:r w:rsidRPr="00FF534B">
      <w:rPr>
        <w:rFonts w:ascii="Arial" w:hAnsi="Arial" w:cs="Arial"/>
        <w:b/>
        <w:sz w:val="32"/>
        <w:szCs w:val="32"/>
      </w:rPr>
      <w:t>October-December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773F4"/>
    <w:multiLevelType w:val="hybridMultilevel"/>
    <w:tmpl w:val="634269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6591C1B"/>
    <w:multiLevelType w:val="hybridMultilevel"/>
    <w:tmpl w:val="5B622A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27E3725C"/>
    <w:multiLevelType w:val="hybridMultilevel"/>
    <w:tmpl w:val="17383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59228B0"/>
    <w:multiLevelType w:val="hybridMultilevel"/>
    <w:tmpl w:val="51D008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4E67090C"/>
    <w:multiLevelType w:val="hybridMultilevel"/>
    <w:tmpl w:val="8ECEF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D181A29"/>
    <w:multiLevelType w:val="hybridMultilevel"/>
    <w:tmpl w:val="98AC7A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D81"/>
    <w:rsid w:val="000443A2"/>
    <w:rsid w:val="000629EA"/>
    <w:rsid w:val="001318F4"/>
    <w:rsid w:val="00165073"/>
    <w:rsid w:val="00192301"/>
    <w:rsid w:val="00251072"/>
    <w:rsid w:val="00273327"/>
    <w:rsid w:val="003014F8"/>
    <w:rsid w:val="00311FCF"/>
    <w:rsid w:val="00333531"/>
    <w:rsid w:val="00350B15"/>
    <w:rsid w:val="0035145C"/>
    <w:rsid w:val="004049BC"/>
    <w:rsid w:val="004B1081"/>
    <w:rsid w:val="0053089F"/>
    <w:rsid w:val="005345C8"/>
    <w:rsid w:val="0056066F"/>
    <w:rsid w:val="0057269E"/>
    <w:rsid w:val="00584C76"/>
    <w:rsid w:val="0059312D"/>
    <w:rsid w:val="005B090A"/>
    <w:rsid w:val="005B3EFB"/>
    <w:rsid w:val="005C7175"/>
    <w:rsid w:val="005E40C8"/>
    <w:rsid w:val="00601A1E"/>
    <w:rsid w:val="0065671E"/>
    <w:rsid w:val="006B11C3"/>
    <w:rsid w:val="006C60E3"/>
    <w:rsid w:val="006D498A"/>
    <w:rsid w:val="006D53E1"/>
    <w:rsid w:val="007E3AD0"/>
    <w:rsid w:val="00821E28"/>
    <w:rsid w:val="00857C6B"/>
    <w:rsid w:val="0088447F"/>
    <w:rsid w:val="008E031B"/>
    <w:rsid w:val="009368D5"/>
    <w:rsid w:val="00960FA3"/>
    <w:rsid w:val="00A0146B"/>
    <w:rsid w:val="00A251E1"/>
    <w:rsid w:val="00A97C66"/>
    <w:rsid w:val="00AE2340"/>
    <w:rsid w:val="00B13015"/>
    <w:rsid w:val="00B447FE"/>
    <w:rsid w:val="00BA1635"/>
    <w:rsid w:val="00BD6862"/>
    <w:rsid w:val="00C70740"/>
    <w:rsid w:val="00C968AF"/>
    <w:rsid w:val="00CB4E7A"/>
    <w:rsid w:val="00CC329A"/>
    <w:rsid w:val="00D11D81"/>
    <w:rsid w:val="00D326A0"/>
    <w:rsid w:val="00D332E7"/>
    <w:rsid w:val="00DB22F8"/>
    <w:rsid w:val="00DB7F1A"/>
    <w:rsid w:val="00DC37DD"/>
    <w:rsid w:val="00DC7D80"/>
    <w:rsid w:val="00DF5D5C"/>
    <w:rsid w:val="00EB22F9"/>
    <w:rsid w:val="00F705C6"/>
    <w:rsid w:val="00F83598"/>
    <w:rsid w:val="00FF53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D81"/>
    <w:pPr>
      <w:spacing w:after="0" w:line="240" w:lineRule="auto"/>
      <w:ind w:left="720"/>
    </w:pPr>
    <w:rPr>
      <w:rFonts w:ascii="Calibri" w:hAnsi="Calibri" w:cs="Times New Roman"/>
    </w:rPr>
  </w:style>
  <w:style w:type="table" w:styleId="TableGrid">
    <w:name w:val="Table Grid"/>
    <w:basedOn w:val="TableNormal"/>
    <w:uiPriority w:val="59"/>
    <w:rsid w:val="00CB4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8AF"/>
    <w:rPr>
      <w:rFonts w:ascii="Tahoma" w:hAnsi="Tahoma" w:cs="Tahoma"/>
      <w:sz w:val="16"/>
      <w:szCs w:val="16"/>
    </w:rPr>
  </w:style>
  <w:style w:type="paragraph" w:customStyle="1" w:styleId="Default">
    <w:name w:val="Default"/>
    <w:rsid w:val="0027332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57C6B"/>
    <w:rPr>
      <w:sz w:val="16"/>
      <w:szCs w:val="16"/>
    </w:rPr>
  </w:style>
  <w:style w:type="paragraph" w:styleId="CommentText">
    <w:name w:val="annotation text"/>
    <w:basedOn w:val="Normal"/>
    <w:link w:val="CommentTextChar"/>
    <w:uiPriority w:val="99"/>
    <w:semiHidden/>
    <w:unhideWhenUsed/>
    <w:rsid w:val="00857C6B"/>
    <w:pPr>
      <w:spacing w:line="240" w:lineRule="auto"/>
    </w:pPr>
    <w:rPr>
      <w:sz w:val="20"/>
      <w:szCs w:val="20"/>
    </w:rPr>
  </w:style>
  <w:style w:type="character" w:customStyle="1" w:styleId="CommentTextChar">
    <w:name w:val="Comment Text Char"/>
    <w:basedOn w:val="DefaultParagraphFont"/>
    <w:link w:val="CommentText"/>
    <w:uiPriority w:val="99"/>
    <w:semiHidden/>
    <w:rsid w:val="00857C6B"/>
    <w:rPr>
      <w:sz w:val="20"/>
      <w:szCs w:val="20"/>
    </w:rPr>
  </w:style>
  <w:style w:type="paragraph" w:styleId="CommentSubject">
    <w:name w:val="annotation subject"/>
    <w:basedOn w:val="CommentText"/>
    <w:next w:val="CommentText"/>
    <w:link w:val="CommentSubjectChar"/>
    <w:uiPriority w:val="99"/>
    <w:semiHidden/>
    <w:unhideWhenUsed/>
    <w:rsid w:val="00857C6B"/>
    <w:rPr>
      <w:b/>
      <w:bCs/>
    </w:rPr>
  </w:style>
  <w:style w:type="character" w:customStyle="1" w:styleId="CommentSubjectChar">
    <w:name w:val="Comment Subject Char"/>
    <w:basedOn w:val="CommentTextChar"/>
    <w:link w:val="CommentSubject"/>
    <w:uiPriority w:val="99"/>
    <w:semiHidden/>
    <w:rsid w:val="00857C6B"/>
    <w:rPr>
      <w:b/>
      <w:bCs/>
      <w:sz w:val="20"/>
      <w:szCs w:val="20"/>
    </w:rPr>
  </w:style>
  <w:style w:type="paragraph" w:styleId="Header">
    <w:name w:val="header"/>
    <w:basedOn w:val="Normal"/>
    <w:link w:val="HeaderChar"/>
    <w:uiPriority w:val="99"/>
    <w:unhideWhenUsed/>
    <w:rsid w:val="00251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072"/>
  </w:style>
  <w:style w:type="paragraph" w:styleId="Footer">
    <w:name w:val="footer"/>
    <w:basedOn w:val="Normal"/>
    <w:link w:val="FooterChar"/>
    <w:uiPriority w:val="99"/>
    <w:unhideWhenUsed/>
    <w:rsid w:val="00251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072"/>
  </w:style>
  <w:style w:type="character" w:styleId="Hyperlink">
    <w:name w:val="Hyperlink"/>
    <w:basedOn w:val="DefaultParagraphFont"/>
    <w:uiPriority w:val="99"/>
    <w:unhideWhenUsed/>
    <w:rsid w:val="007E3A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D81"/>
    <w:pPr>
      <w:spacing w:after="0" w:line="240" w:lineRule="auto"/>
      <w:ind w:left="720"/>
    </w:pPr>
    <w:rPr>
      <w:rFonts w:ascii="Calibri" w:hAnsi="Calibri" w:cs="Times New Roman"/>
    </w:rPr>
  </w:style>
  <w:style w:type="table" w:styleId="TableGrid">
    <w:name w:val="Table Grid"/>
    <w:basedOn w:val="TableNormal"/>
    <w:uiPriority w:val="59"/>
    <w:rsid w:val="00CB4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8AF"/>
    <w:rPr>
      <w:rFonts w:ascii="Tahoma" w:hAnsi="Tahoma" w:cs="Tahoma"/>
      <w:sz w:val="16"/>
      <w:szCs w:val="16"/>
    </w:rPr>
  </w:style>
  <w:style w:type="paragraph" w:customStyle="1" w:styleId="Default">
    <w:name w:val="Default"/>
    <w:rsid w:val="0027332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57C6B"/>
    <w:rPr>
      <w:sz w:val="16"/>
      <w:szCs w:val="16"/>
    </w:rPr>
  </w:style>
  <w:style w:type="paragraph" w:styleId="CommentText">
    <w:name w:val="annotation text"/>
    <w:basedOn w:val="Normal"/>
    <w:link w:val="CommentTextChar"/>
    <w:uiPriority w:val="99"/>
    <w:semiHidden/>
    <w:unhideWhenUsed/>
    <w:rsid w:val="00857C6B"/>
    <w:pPr>
      <w:spacing w:line="240" w:lineRule="auto"/>
    </w:pPr>
    <w:rPr>
      <w:sz w:val="20"/>
      <w:szCs w:val="20"/>
    </w:rPr>
  </w:style>
  <w:style w:type="character" w:customStyle="1" w:styleId="CommentTextChar">
    <w:name w:val="Comment Text Char"/>
    <w:basedOn w:val="DefaultParagraphFont"/>
    <w:link w:val="CommentText"/>
    <w:uiPriority w:val="99"/>
    <w:semiHidden/>
    <w:rsid w:val="00857C6B"/>
    <w:rPr>
      <w:sz w:val="20"/>
      <w:szCs w:val="20"/>
    </w:rPr>
  </w:style>
  <w:style w:type="paragraph" w:styleId="CommentSubject">
    <w:name w:val="annotation subject"/>
    <w:basedOn w:val="CommentText"/>
    <w:next w:val="CommentText"/>
    <w:link w:val="CommentSubjectChar"/>
    <w:uiPriority w:val="99"/>
    <w:semiHidden/>
    <w:unhideWhenUsed/>
    <w:rsid w:val="00857C6B"/>
    <w:rPr>
      <w:b/>
      <w:bCs/>
    </w:rPr>
  </w:style>
  <w:style w:type="character" w:customStyle="1" w:styleId="CommentSubjectChar">
    <w:name w:val="Comment Subject Char"/>
    <w:basedOn w:val="CommentTextChar"/>
    <w:link w:val="CommentSubject"/>
    <w:uiPriority w:val="99"/>
    <w:semiHidden/>
    <w:rsid w:val="00857C6B"/>
    <w:rPr>
      <w:b/>
      <w:bCs/>
      <w:sz w:val="20"/>
      <w:szCs w:val="20"/>
    </w:rPr>
  </w:style>
  <w:style w:type="paragraph" w:styleId="Header">
    <w:name w:val="header"/>
    <w:basedOn w:val="Normal"/>
    <w:link w:val="HeaderChar"/>
    <w:uiPriority w:val="99"/>
    <w:unhideWhenUsed/>
    <w:rsid w:val="00251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072"/>
  </w:style>
  <w:style w:type="paragraph" w:styleId="Footer">
    <w:name w:val="footer"/>
    <w:basedOn w:val="Normal"/>
    <w:link w:val="FooterChar"/>
    <w:uiPriority w:val="99"/>
    <w:unhideWhenUsed/>
    <w:rsid w:val="00251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072"/>
  </w:style>
  <w:style w:type="character" w:styleId="Hyperlink">
    <w:name w:val="Hyperlink"/>
    <w:basedOn w:val="DefaultParagraphFont"/>
    <w:uiPriority w:val="99"/>
    <w:unhideWhenUsed/>
    <w:rsid w:val="007E3A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5908">
      <w:bodyDiv w:val="1"/>
      <w:marLeft w:val="0"/>
      <w:marRight w:val="0"/>
      <w:marTop w:val="0"/>
      <w:marBottom w:val="0"/>
      <w:divBdr>
        <w:top w:val="none" w:sz="0" w:space="0" w:color="auto"/>
        <w:left w:val="none" w:sz="0" w:space="0" w:color="auto"/>
        <w:bottom w:val="none" w:sz="0" w:space="0" w:color="auto"/>
        <w:right w:val="none" w:sz="0" w:space="0" w:color="auto"/>
      </w:divBdr>
    </w:div>
    <w:div w:id="164150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vss.health.wa.gov.a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ealthywa.wa.gov.au/publichealthunits" TargetMode="External"/><Relationship Id="rId4" Type="http://schemas.openxmlformats.org/officeDocument/2006/relationships/settings" Target="settings.xml"/><Relationship Id="rId9" Type="http://schemas.openxmlformats.org/officeDocument/2006/relationships/hyperlink" Target="http://www.wavss.health.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4299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WA Health</Company>
  <LinksUpToDate>false</LinksUpToDate>
  <CharactersWithSpaces>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Haenga, Marama</dc:creator>
  <cp:lastModifiedBy>Gibbs, Robyn</cp:lastModifiedBy>
  <cp:revision>2</cp:revision>
  <cp:lastPrinted>2016-08-17T00:11:00Z</cp:lastPrinted>
  <dcterms:created xsi:type="dcterms:W3CDTF">2017-10-24T02:30:00Z</dcterms:created>
  <dcterms:modified xsi:type="dcterms:W3CDTF">2017-10-24T02:30:00Z</dcterms:modified>
</cp:coreProperties>
</file>