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464" w:rsidRDefault="007F2464" w:rsidP="007F2464">
      <w:pPr>
        <w:pStyle w:val="Heading1"/>
        <w:spacing w:before="0" w:after="0"/>
        <w:rPr>
          <w:b/>
          <w:sz w:val="40"/>
        </w:rPr>
      </w:pPr>
      <w:bookmarkStart w:id="0" w:name="_GoBack"/>
      <w:bookmarkEnd w:id="0"/>
      <w:r>
        <w:rPr>
          <w:noProof/>
          <w:lang w:eastAsia="en-AU"/>
        </w:rPr>
        <w:drawing>
          <wp:anchor distT="0" distB="0" distL="114300" distR="114300" simplePos="0" relativeHeight="251658240" behindDoc="0" locked="0" layoutInCell="1" allowOverlap="1" wp14:anchorId="652E1F4F" wp14:editId="3573F4BD">
            <wp:simplePos x="0" y="0"/>
            <wp:positionH relativeFrom="column">
              <wp:posOffset>-539750</wp:posOffset>
            </wp:positionH>
            <wp:positionV relativeFrom="paragraph">
              <wp:posOffset>-153670</wp:posOffset>
            </wp:positionV>
            <wp:extent cx="2651760" cy="494030"/>
            <wp:effectExtent l="0" t="0" r="0" b="1270"/>
            <wp:wrapNone/>
            <wp:docPr id="1" name="Picture 1" descr="wachs_colour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hs_colour_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1760"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2464" w:rsidRDefault="007F2464" w:rsidP="007F2464">
      <w:pPr>
        <w:pStyle w:val="Heading1"/>
        <w:spacing w:before="120" w:after="0"/>
        <w:rPr>
          <w:b/>
          <w:sz w:val="40"/>
        </w:rPr>
      </w:pPr>
    </w:p>
    <w:p w:rsidR="008D492D" w:rsidRPr="00586C7A" w:rsidRDefault="000C28F0" w:rsidP="00586C7A">
      <w:pPr>
        <w:pStyle w:val="Heading1"/>
        <w:tabs>
          <w:tab w:val="left" w:pos="17179"/>
        </w:tabs>
        <w:spacing w:before="120" w:after="0"/>
        <w:rPr>
          <w:b/>
          <w:color w:val="auto"/>
          <w:sz w:val="24"/>
          <w:szCs w:val="24"/>
        </w:rPr>
      </w:pPr>
      <w:r w:rsidRPr="000C28F0">
        <w:rPr>
          <w:b/>
          <w:sz w:val="40"/>
        </w:rPr>
        <w:t>Targeted Regional</w:t>
      </w:r>
      <w:r w:rsidR="00C61CC9" w:rsidRPr="000C28F0">
        <w:rPr>
          <w:b/>
          <w:sz w:val="40"/>
        </w:rPr>
        <w:t xml:space="preserve"> </w:t>
      </w:r>
      <w:r>
        <w:rPr>
          <w:b/>
          <w:sz w:val="40"/>
        </w:rPr>
        <w:t xml:space="preserve">WA </w:t>
      </w:r>
      <w:r w:rsidR="00E849F1" w:rsidRPr="000C28F0">
        <w:rPr>
          <w:b/>
          <w:sz w:val="40"/>
        </w:rPr>
        <w:t>Men</w:t>
      </w:r>
      <w:r w:rsidR="00C61CC9" w:rsidRPr="000C28F0">
        <w:rPr>
          <w:b/>
          <w:sz w:val="40"/>
        </w:rPr>
        <w:t xml:space="preserve">W </w:t>
      </w:r>
      <w:r w:rsidRPr="000C28F0">
        <w:rPr>
          <w:b/>
          <w:sz w:val="40"/>
        </w:rPr>
        <w:t>Outbreak Response</w:t>
      </w:r>
      <w:r w:rsidR="00E849F1" w:rsidRPr="00C61CC9">
        <w:rPr>
          <w:b/>
          <w:sz w:val="40"/>
        </w:rPr>
        <w:t xml:space="preserve"> </w:t>
      </w:r>
      <w:r w:rsidR="00586C7A">
        <w:rPr>
          <w:b/>
          <w:sz w:val="40"/>
        </w:rPr>
        <w:tab/>
      </w:r>
      <w:r w:rsidR="00586C7A" w:rsidRPr="00586C7A">
        <w:rPr>
          <w:b/>
          <w:color w:val="auto"/>
          <w:sz w:val="24"/>
          <w:szCs w:val="24"/>
        </w:rPr>
        <w:tab/>
      </w:r>
      <w:r w:rsidR="00586C7A" w:rsidRPr="00586C7A">
        <w:rPr>
          <w:b/>
          <w:color w:val="auto"/>
          <w:sz w:val="24"/>
          <w:szCs w:val="24"/>
        </w:rPr>
        <w:tab/>
      </w:r>
      <w:r w:rsidR="00E01229">
        <w:rPr>
          <w:b/>
          <w:color w:val="auto"/>
          <w:sz w:val="24"/>
          <w:szCs w:val="24"/>
        </w:rPr>
        <w:t>19</w:t>
      </w:r>
      <w:r>
        <w:rPr>
          <w:b/>
          <w:color w:val="auto"/>
          <w:sz w:val="24"/>
          <w:szCs w:val="24"/>
        </w:rPr>
        <w:t>/10/2017</w:t>
      </w:r>
    </w:p>
    <w:p w:rsidR="007F2464" w:rsidRDefault="007F2464" w:rsidP="007F2464">
      <w:pPr>
        <w:pStyle w:val="Heading1"/>
        <w:spacing w:before="0" w:after="0"/>
        <w:rPr>
          <w:b/>
          <w:sz w:val="28"/>
        </w:rPr>
      </w:pPr>
    </w:p>
    <w:p w:rsidR="00E849F1" w:rsidRPr="00EF11D7" w:rsidRDefault="00E849F1" w:rsidP="007F2464">
      <w:pPr>
        <w:pStyle w:val="Heading1"/>
        <w:spacing w:before="0" w:after="0"/>
        <w:rPr>
          <w:b/>
          <w:color w:val="auto"/>
          <w:sz w:val="32"/>
          <w:szCs w:val="32"/>
        </w:rPr>
      </w:pPr>
      <w:r w:rsidRPr="00EF11D7">
        <w:rPr>
          <w:b/>
          <w:color w:val="auto"/>
          <w:sz w:val="32"/>
          <w:szCs w:val="32"/>
        </w:rPr>
        <w:t>Dosing schedule</w:t>
      </w:r>
      <w:r w:rsidR="00E82AB1">
        <w:rPr>
          <w:b/>
          <w:color w:val="auto"/>
          <w:sz w:val="32"/>
          <w:szCs w:val="32"/>
        </w:rPr>
        <w:t xml:space="preserve"> for </w:t>
      </w:r>
      <w:r w:rsidR="00A0643E">
        <w:rPr>
          <w:b/>
          <w:color w:val="auto"/>
          <w:sz w:val="32"/>
          <w:szCs w:val="32"/>
        </w:rPr>
        <w:t>meningococcal ACWY vaccines</w:t>
      </w:r>
      <w:r w:rsidR="00102758">
        <w:rPr>
          <w:b/>
          <w:color w:val="auto"/>
          <w:sz w:val="32"/>
          <w:szCs w:val="32"/>
        </w:rPr>
        <w:t>*</w:t>
      </w:r>
      <w:r w:rsidR="007F2464" w:rsidRPr="00EF11D7">
        <w:rPr>
          <w:b/>
          <w:color w:val="auto"/>
          <w:sz w:val="32"/>
          <w:szCs w:val="32"/>
        </w:rPr>
        <w:t>:</w:t>
      </w:r>
    </w:p>
    <w:p w:rsidR="007F2464" w:rsidRPr="00372375" w:rsidRDefault="007F2464" w:rsidP="007F2464">
      <w:pPr>
        <w:rPr>
          <w:sz w:val="8"/>
          <w:szCs w:val="8"/>
        </w:rPr>
      </w:pPr>
    </w:p>
    <w:tbl>
      <w:tblPr>
        <w:tblStyle w:val="TableGrid"/>
        <w:tblW w:w="19103"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903"/>
        <w:gridCol w:w="17"/>
        <w:gridCol w:w="3851"/>
        <w:gridCol w:w="3500"/>
        <w:gridCol w:w="8832"/>
      </w:tblGrid>
      <w:tr w:rsidR="00253181" w:rsidRPr="00C61CC9" w:rsidTr="00253181">
        <w:trPr>
          <w:trHeight w:val="716"/>
        </w:trPr>
        <w:tc>
          <w:tcPr>
            <w:tcW w:w="2920" w:type="dxa"/>
            <w:gridSpan w:val="2"/>
            <w:shd w:val="clear" w:color="auto" w:fill="D9D9D9" w:themeFill="background1" w:themeFillShade="D9"/>
            <w:vAlign w:val="center"/>
          </w:tcPr>
          <w:p w:rsidR="00253181" w:rsidRPr="00162F5A" w:rsidRDefault="00253181" w:rsidP="00580111">
            <w:pPr>
              <w:jc w:val="center"/>
              <w:rPr>
                <w:b/>
                <w:sz w:val="28"/>
                <w:szCs w:val="28"/>
              </w:rPr>
            </w:pPr>
            <w:r w:rsidRPr="00162F5A">
              <w:rPr>
                <w:b/>
                <w:sz w:val="28"/>
                <w:szCs w:val="28"/>
              </w:rPr>
              <w:t>Age at commencement</w:t>
            </w:r>
            <w:r>
              <w:rPr>
                <w:b/>
                <w:sz w:val="28"/>
                <w:szCs w:val="28"/>
              </w:rPr>
              <w:t xml:space="preserve"> </w:t>
            </w:r>
          </w:p>
        </w:tc>
        <w:tc>
          <w:tcPr>
            <w:tcW w:w="3851" w:type="dxa"/>
            <w:shd w:val="clear" w:color="auto" w:fill="D9D9D9" w:themeFill="background1" w:themeFillShade="D9"/>
            <w:vAlign w:val="center"/>
          </w:tcPr>
          <w:p w:rsidR="00253181" w:rsidDel="00F37FF9" w:rsidRDefault="00253181" w:rsidP="00EF11D7">
            <w:pPr>
              <w:jc w:val="center"/>
              <w:rPr>
                <w:b/>
                <w:sz w:val="28"/>
                <w:szCs w:val="28"/>
              </w:rPr>
            </w:pPr>
            <w:r>
              <w:rPr>
                <w:b/>
                <w:sz w:val="28"/>
                <w:szCs w:val="28"/>
              </w:rPr>
              <w:t>Vaccine</w:t>
            </w:r>
            <w:r w:rsidRPr="00162F5A">
              <w:rPr>
                <w:b/>
                <w:sz w:val="28"/>
                <w:szCs w:val="28"/>
              </w:rPr>
              <w:t xml:space="preserve"> brand</w:t>
            </w:r>
          </w:p>
        </w:tc>
        <w:tc>
          <w:tcPr>
            <w:tcW w:w="3500" w:type="dxa"/>
            <w:shd w:val="clear" w:color="auto" w:fill="D9D9D9" w:themeFill="background1" w:themeFillShade="D9"/>
            <w:vAlign w:val="center"/>
          </w:tcPr>
          <w:p w:rsidR="00253181" w:rsidRPr="00162F5A" w:rsidRDefault="00253181" w:rsidP="00EF11D7">
            <w:pPr>
              <w:jc w:val="center"/>
              <w:rPr>
                <w:b/>
                <w:sz w:val="28"/>
                <w:szCs w:val="28"/>
              </w:rPr>
            </w:pPr>
            <w:r w:rsidRPr="00162F5A">
              <w:rPr>
                <w:b/>
                <w:sz w:val="28"/>
                <w:szCs w:val="28"/>
              </w:rPr>
              <w:t>Doses needed</w:t>
            </w:r>
          </w:p>
        </w:tc>
        <w:tc>
          <w:tcPr>
            <w:tcW w:w="8832" w:type="dxa"/>
            <w:shd w:val="clear" w:color="auto" w:fill="D9D9D9" w:themeFill="background1" w:themeFillShade="D9"/>
            <w:vAlign w:val="center"/>
          </w:tcPr>
          <w:p w:rsidR="00253181" w:rsidRPr="00162F5A" w:rsidRDefault="00253181" w:rsidP="00545926">
            <w:pPr>
              <w:jc w:val="center"/>
              <w:rPr>
                <w:b/>
                <w:sz w:val="28"/>
                <w:szCs w:val="28"/>
              </w:rPr>
            </w:pPr>
            <w:r w:rsidRPr="00162F5A">
              <w:rPr>
                <w:b/>
                <w:sz w:val="28"/>
                <w:szCs w:val="28"/>
              </w:rPr>
              <w:t>Recommended</w:t>
            </w:r>
            <w:r>
              <w:rPr>
                <w:b/>
                <w:sz w:val="28"/>
                <w:szCs w:val="28"/>
              </w:rPr>
              <w:t xml:space="preserve"> </w:t>
            </w:r>
            <w:r w:rsidRPr="00162F5A">
              <w:rPr>
                <w:b/>
                <w:sz w:val="28"/>
                <w:szCs w:val="28"/>
              </w:rPr>
              <w:t>interval between doses</w:t>
            </w:r>
          </w:p>
        </w:tc>
      </w:tr>
      <w:tr w:rsidR="00253181" w:rsidTr="00253181">
        <w:trPr>
          <w:trHeight w:val="1209"/>
        </w:trPr>
        <w:tc>
          <w:tcPr>
            <w:tcW w:w="2903" w:type="dxa"/>
            <w:shd w:val="clear" w:color="auto" w:fill="CCECFF"/>
            <w:vAlign w:val="center"/>
          </w:tcPr>
          <w:p w:rsidR="00253181" w:rsidRPr="00162F5A" w:rsidRDefault="00253181" w:rsidP="00FA75F7">
            <w:pPr>
              <w:jc w:val="center"/>
              <w:rPr>
                <w:b/>
                <w:sz w:val="28"/>
                <w:szCs w:val="28"/>
              </w:rPr>
            </w:pPr>
            <w:r w:rsidRPr="00162F5A">
              <w:rPr>
                <w:b/>
                <w:sz w:val="28"/>
                <w:szCs w:val="28"/>
              </w:rPr>
              <w:t>2 to 6</w:t>
            </w:r>
            <w:r>
              <w:rPr>
                <w:b/>
                <w:sz w:val="28"/>
                <w:szCs w:val="28"/>
              </w:rPr>
              <w:t xml:space="preserve"> </w:t>
            </w:r>
            <w:r w:rsidRPr="00162F5A">
              <w:rPr>
                <w:b/>
                <w:sz w:val="28"/>
                <w:szCs w:val="28"/>
              </w:rPr>
              <w:t>months</w:t>
            </w:r>
          </w:p>
        </w:tc>
        <w:tc>
          <w:tcPr>
            <w:tcW w:w="3868" w:type="dxa"/>
            <w:gridSpan w:val="2"/>
            <w:shd w:val="clear" w:color="auto" w:fill="CCECFF"/>
            <w:vAlign w:val="center"/>
          </w:tcPr>
          <w:p w:rsidR="00253181" w:rsidRDefault="00253181">
            <w:pPr>
              <w:jc w:val="center"/>
              <w:rPr>
                <w:b/>
                <w:sz w:val="28"/>
                <w:szCs w:val="28"/>
              </w:rPr>
            </w:pPr>
          </w:p>
          <w:p w:rsidR="00253181" w:rsidRPr="00162F5A" w:rsidRDefault="00253181">
            <w:pPr>
              <w:jc w:val="center"/>
              <w:rPr>
                <w:b/>
                <w:sz w:val="28"/>
                <w:szCs w:val="28"/>
              </w:rPr>
            </w:pPr>
            <w:r w:rsidRPr="00162F5A">
              <w:rPr>
                <w:b/>
                <w:sz w:val="28"/>
                <w:szCs w:val="28"/>
              </w:rPr>
              <w:t>Menveo</w:t>
            </w:r>
            <w:r w:rsidR="00411D5B">
              <w:rPr>
                <w:b/>
                <w:sz w:val="28"/>
                <w:szCs w:val="28"/>
              </w:rPr>
              <w:t>®</w:t>
            </w:r>
            <w:r>
              <w:rPr>
                <w:b/>
                <w:sz w:val="28"/>
                <w:szCs w:val="28"/>
                <w:vertAlign w:val="superscript"/>
              </w:rPr>
              <w:t>1, 2, 3</w:t>
            </w:r>
          </w:p>
          <w:p w:rsidR="00253181" w:rsidDel="00F37FF9" w:rsidRDefault="00253181">
            <w:pPr>
              <w:jc w:val="center"/>
              <w:rPr>
                <w:b/>
                <w:sz w:val="28"/>
                <w:szCs w:val="28"/>
              </w:rPr>
            </w:pPr>
          </w:p>
        </w:tc>
        <w:tc>
          <w:tcPr>
            <w:tcW w:w="3500" w:type="dxa"/>
            <w:shd w:val="clear" w:color="auto" w:fill="CCECFF"/>
            <w:vAlign w:val="center"/>
          </w:tcPr>
          <w:p w:rsidR="00253181" w:rsidRPr="00162F5A" w:rsidRDefault="00253181">
            <w:pPr>
              <w:jc w:val="center"/>
              <w:rPr>
                <w:sz w:val="28"/>
                <w:szCs w:val="28"/>
              </w:rPr>
            </w:pPr>
            <w:r>
              <w:rPr>
                <w:sz w:val="28"/>
                <w:szCs w:val="28"/>
              </w:rPr>
              <w:t>4</w:t>
            </w:r>
            <w:r w:rsidRPr="00162F5A">
              <w:rPr>
                <w:sz w:val="28"/>
                <w:szCs w:val="28"/>
              </w:rPr>
              <w:t xml:space="preserve"> doses</w:t>
            </w:r>
          </w:p>
        </w:tc>
        <w:tc>
          <w:tcPr>
            <w:tcW w:w="8832" w:type="dxa"/>
            <w:shd w:val="clear" w:color="auto" w:fill="CCECFF"/>
            <w:vAlign w:val="center"/>
          </w:tcPr>
          <w:p w:rsidR="00E01229" w:rsidRDefault="00253181">
            <w:pPr>
              <w:rPr>
                <w:sz w:val="28"/>
                <w:szCs w:val="28"/>
              </w:rPr>
            </w:pPr>
            <w:r>
              <w:rPr>
                <w:sz w:val="28"/>
                <w:szCs w:val="28"/>
              </w:rPr>
              <w:t>8 weeks between doses for each of the first three doses;</w:t>
            </w:r>
          </w:p>
          <w:p w:rsidR="00253181" w:rsidRPr="00162F5A" w:rsidRDefault="00253181">
            <w:pPr>
              <w:rPr>
                <w:sz w:val="28"/>
                <w:szCs w:val="28"/>
              </w:rPr>
            </w:pPr>
            <w:r>
              <w:rPr>
                <w:sz w:val="28"/>
                <w:szCs w:val="28"/>
              </w:rPr>
              <w:t>4</w:t>
            </w:r>
            <w:r w:rsidRPr="00FA75F7">
              <w:rPr>
                <w:sz w:val="28"/>
                <w:szCs w:val="28"/>
                <w:vertAlign w:val="superscript"/>
              </w:rPr>
              <w:t>th</w:t>
            </w:r>
            <w:r>
              <w:rPr>
                <w:sz w:val="28"/>
                <w:szCs w:val="28"/>
              </w:rPr>
              <w:t xml:space="preserve"> </w:t>
            </w:r>
            <w:r w:rsidR="00E01229">
              <w:rPr>
                <w:sz w:val="28"/>
                <w:szCs w:val="28"/>
              </w:rPr>
              <w:t xml:space="preserve">dose </w:t>
            </w:r>
            <w:r>
              <w:rPr>
                <w:sz w:val="28"/>
                <w:szCs w:val="28"/>
              </w:rPr>
              <w:t>should be given at 12-18 months of age but at least 8 weeks after 3</w:t>
            </w:r>
            <w:r w:rsidRPr="00FA75F7">
              <w:rPr>
                <w:sz w:val="28"/>
                <w:szCs w:val="28"/>
                <w:vertAlign w:val="superscript"/>
              </w:rPr>
              <w:t>rd</w:t>
            </w:r>
            <w:r>
              <w:rPr>
                <w:sz w:val="28"/>
                <w:szCs w:val="28"/>
              </w:rPr>
              <w:t xml:space="preserve"> dose</w:t>
            </w:r>
          </w:p>
        </w:tc>
      </w:tr>
      <w:tr w:rsidR="00253181" w:rsidTr="00253181">
        <w:trPr>
          <w:trHeight w:val="1145"/>
        </w:trPr>
        <w:tc>
          <w:tcPr>
            <w:tcW w:w="2903" w:type="dxa"/>
            <w:shd w:val="clear" w:color="auto" w:fill="CCECFF"/>
            <w:vAlign w:val="center"/>
          </w:tcPr>
          <w:p w:rsidR="00253181" w:rsidRPr="00162F5A" w:rsidRDefault="00253181" w:rsidP="00FA75F7">
            <w:pPr>
              <w:jc w:val="center"/>
              <w:rPr>
                <w:b/>
                <w:sz w:val="28"/>
                <w:szCs w:val="28"/>
              </w:rPr>
            </w:pPr>
            <w:r w:rsidRPr="00162F5A">
              <w:rPr>
                <w:b/>
                <w:sz w:val="28"/>
                <w:szCs w:val="28"/>
              </w:rPr>
              <w:t>7 to 11months</w:t>
            </w:r>
          </w:p>
        </w:tc>
        <w:tc>
          <w:tcPr>
            <w:tcW w:w="3868" w:type="dxa"/>
            <w:gridSpan w:val="2"/>
            <w:shd w:val="clear" w:color="auto" w:fill="CCECFF"/>
            <w:vAlign w:val="center"/>
          </w:tcPr>
          <w:p w:rsidR="00253181" w:rsidRDefault="00253181">
            <w:pPr>
              <w:jc w:val="center"/>
              <w:rPr>
                <w:b/>
                <w:sz w:val="28"/>
                <w:szCs w:val="28"/>
              </w:rPr>
            </w:pPr>
          </w:p>
          <w:p w:rsidR="00253181" w:rsidRPr="00162F5A" w:rsidRDefault="00253181">
            <w:pPr>
              <w:jc w:val="center"/>
              <w:rPr>
                <w:b/>
                <w:sz w:val="28"/>
                <w:szCs w:val="28"/>
              </w:rPr>
            </w:pPr>
            <w:r w:rsidRPr="00162F5A">
              <w:rPr>
                <w:b/>
                <w:sz w:val="28"/>
                <w:szCs w:val="28"/>
              </w:rPr>
              <w:t>Menveo</w:t>
            </w:r>
            <w:r w:rsidR="00411D5B">
              <w:rPr>
                <w:b/>
                <w:sz w:val="28"/>
                <w:szCs w:val="28"/>
              </w:rPr>
              <w:t>®</w:t>
            </w:r>
            <w:r>
              <w:rPr>
                <w:b/>
                <w:sz w:val="28"/>
                <w:szCs w:val="28"/>
                <w:vertAlign w:val="superscript"/>
              </w:rPr>
              <w:t>1, 2, 3</w:t>
            </w:r>
          </w:p>
          <w:p w:rsidR="00253181" w:rsidDel="00F37FF9" w:rsidRDefault="00253181">
            <w:pPr>
              <w:jc w:val="center"/>
              <w:rPr>
                <w:b/>
                <w:sz w:val="28"/>
                <w:szCs w:val="28"/>
              </w:rPr>
            </w:pPr>
          </w:p>
        </w:tc>
        <w:tc>
          <w:tcPr>
            <w:tcW w:w="3500" w:type="dxa"/>
            <w:shd w:val="clear" w:color="auto" w:fill="CCECFF"/>
            <w:vAlign w:val="center"/>
          </w:tcPr>
          <w:p w:rsidR="00253181" w:rsidRPr="00162F5A" w:rsidRDefault="00253181">
            <w:pPr>
              <w:jc w:val="center"/>
              <w:rPr>
                <w:sz w:val="28"/>
                <w:szCs w:val="28"/>
              </w:rPr>
            </w:pPr>
            <w:r w:rsidRPr="00162F5A">
              <w:rPr>
                <w:sz w:val="28"/>
                <w:szCs w:val="28"/>
              </w:rPr>
              <w:t>2 doses</w:t>
            </w:r>
          </w:p>
        </w:tc>
        <w:tc>
          <w:tcPr>
            <w:tcW w:w="8832" w:type="dxa"/>
            <w:shd w:val="clear" w:color="auto" w:fill="CCECFF"/>
            <w:vAlign w:val="center"/>
          </w:tcPr>
          <w:p w:rsidR="00253181" w:rsidRPr="00162F5A" w:rsidRDefault="00253181" w:rsidP="004F424D">
            <w:pPr>
              <w:rPr>
                <w:sz w:val="28"/>
                <w:szCs w:val="28"/>
              </w:rPr>
            </w:pPr>
            <w:r>
              <w:rPr>
                <w:sz w:val="28"/>
                <w:szCs w:val="28"/>
              </w:rPr>
              <w:t>2</w:t>
            </w:r>
            <w:r w:rsidRPr="005C370F">
              <w:rPr>
                <w:sz w:val="28"/>
                <w:szCs w:val="28"/>
                <w:vertAlign w:val="superscript"/>
              </w:rPr>
              <w:t>nd</w:t>
            </w:r>
            <w:r>
              <w:rPr>
                <w:sz w:val="28"/>
                <w:szCs w:val="28"/>
              </w:rPr>
              <w:t xml:space="preserve"> dose should be given on or after 12 months of age and </w:t>
            </w:r>
            <w:r w:rsidR="00E01229">
              <w:rPr>
                <w:sz w:val="28"/>
                <w:szCs w:val="28"/>
              </w:rPr>
              <w:t xml:space="preserve">at least </w:t>
            </w:r>
            <w:r w:rsidR="004F424D">
              <w:rPr>
                <w:sz w:val="28"/>
                <w:szCs w:val="28"/>
              </w:rPr>
              <w:t xml:space="preserve">8 </w:t>
            </w:r>
            <w:r>
              <w:rPr>
                <w:sz w:val="28"/>
                <w:szCs w:val="28"/>
              </w:rPr>
              <w:t>weeks after the 1</w:t>
            </w:r>
            <w:r w:rsidRPr="005C370F">
              <w:rPr>
                <w:sz w:val="28"/>
                <w:szCs w:val="28"/>
                <w:vertAlign w:val="superscript"/>
              </w:rPr>
              <w:t>st</w:t>
            </w:r>
            <w:r>
              <w:rPr>
                <w:sz w:val="28"/>
                <w:szCs w:val="28"/>
              </w:rPr>
              <w:t xml:space="preserve"> dose</w:t>
            </w:r>
            <w:r w:rsidR="004F424D">
              <w:rPr>
                <w:sz w:val="28"/>
                <w:szCs w:val="28"/>
              </w:rPr>
              <w:t xml:space="preserve"> </w:t>
            </w:r>
          </w:p>
        </w:tc>
      </w:tr>
      <w:tr w:rsidR="00253181" w:rsidTr="00253181">
        <w:trPr>
          <w:trHeight w:val="1237"/>
        </w:trPr>
        <w:tc>
          <w:tcPr>
            <w:tcW w:w="2903" w:type="dxa"/>
            <w:shd w:val="clear" w:color="auto" w:fill="FFFF99"/>
            <w:vAlign w:val="center"/>
          </w:tcPr>
          <w:p w:rsidR="00253181" w:rsidRPr="00162F5A" w:rsidRDefault="00253181" w:rsidP="00FA75F7">
            <w:pPr>
              <w:spacing w:before="80" w:after="0"/>
              <w:jc w:val="center"/>
              <w:rPr>
                <w:b/>
                <w:sz w:val="28"/>
                <w:szCs w:val="28"/>
              </w:rPr>
            </w:pPr>
            <w:r w:rsidRPr="00162F5A">
              <w:rPr>
                <w:b/>
                <w:sz w:val="28"/>
                <w:szCs w:val="28"/>
              </w:rPr>
              <w:t xml:space="preserve">12 months </w:t>
            </w:r>
            <w:r>
              <w:rPr>
                <w:b/>
                <w:sz w:val="28"/>
                <w:szCs w:val="28"/>
              </w:rPr>
              <w:t>and over (no maximum age)</w:t>
            </w:r>
          </w:p>
        </w:tc>
        <w:tc>
          <w:tcPr>
            <w:tcW w:w="3868" w:type="dxa"/>
            <w:gridSpan w:val="2"/>
            <w:shd w:val="clear" w:color="auto" w:fill="FFFF99"/>
            <w:vAlign w:val="center"/>
          </w:tcPr>
          <w:p w:rsidR="00253181" w:rsidRDefault="00253181">
            <w:pPr>
              <w:jc w:val="center"/>
              <w:rPr>
                <w:b/>
                <w:sz w:val="28"/>
                <w:szCs w:val="28"/>
              </w:rPr>
            </w:pPr>
          </w:p>
          <w:p w:rsidR="00253181" w:rsidRPr="00162F5A" w:rsidRDefault="00411D5B">
            <w:pPr>
              <w:jc w:val="center"/>
              <w:rPr>
                <w:b/>
                <w:sz w:val="28"/>
                <w:szCs w:val="28"/>
              </w:rPr>
            </w:pPr>
            <w:r w:rsidRPr="00162F5A">
              <w:rPr>
                <w:b/>
                <w:sz w:val="28"/>
                <w:szCs w:val="28"/>
              </w:rPr>
              <w:t>NIMENRIX</w:t>
            </w:r>
            <w:r>
              <w:rPr>
                <w:b/>
                <w:sz w:val="28"/>
                <w:szCs w:val="28"/>
              </w:rPr>
              <w:t>®</w:t>
            </w:r>
            <w:r w:rsidR="00253181">
              <w:rPr>
                <w:b/>
                <w:sz w:val="28"/>
                <w:szCs w:val="28"/>
                <w:vertAlign w:val="superscript"/>
              </w:rPr>
              <w:t>2,3</w:t>
            </w:r>
          </w:p>
          <w:p w:rsidR="00253181" w:rsidDel="00F37FF9" w:rsidRDefault="00253181">
            <w:pPr>
              <w:jc w:val="center"/>
              <w:rPr>
                <w:b/>
                <w:sz w:val="28"/>
                <w:szCs w:val="28"/>
              </w:rPr>
            </w:pPr>
          </w:p>
        </w:tc>
        <w:tc>
          <w:tcPr>
            <w:tcW w:w="3500" w:type="dxa"/>
            <w:shd w:val="clear" w:color="auto" w:fill="FFFF99"/>
            <w:vAlign w:val="center"/>
          </w:tcPr>
          <w:p w:rsidR="00253181" w:rsidRPr="00FA75F7" w:rsidRDefault="00253181" w:rsidP="00253181">
            <w:pPr>
              <w:jc w:val="center"/>
              <w:rPr>
                <w:sz w:val="28"/>
                <w:szCs w:val="28"/>
              </w:rPr>
            </w:pPr>
            <w:r w:rsidRPr="00FA75F7">
              <w:rPr>
                <w:sz w:val="28"/>
                <w:szCs w:val="28"/>
              </w:rPr>
              <w:t>1 dose</w:t>
            </w:r>
            <w:r w:rsidRPr="00253181">
              <w:rPr>
                <w:sz w:val="28"/>
                <w:szCs w:val="28"/>
                <w:vertAlign w:val="superscript"/>
              </w:rPr>
              <w:t>4</w:t>
            </w:r>
          </w:p>
        </w:tc>
        <w:tc>
          <w:tcPr>
            <w:tcW w:w="8832" w:type="dxa"/>
            <w:shd w:val="clear" w:color="auto" w:fill="FFFF99"/>
            <w:vAlign w:val="center"/>
          </w:tcPr>
          <w:p w:rsidR="00253181" w:rsidRPr="00FA75F7" w:rsidRDefault="00253181">
            <w:pPr>
              <w:rPr>
                <w:sz w:val="28"/>
                <w:szCs w:val="28"/>
              </w:rPr>
            </w:pPr>
            <w:r>
              <w:rPr>
                <w:sz w:val="28"/>
                <w:szCs w:val="28"/>
              </w:rPr>
              <w:t>No 2</w:t>
            </w:r>
            <w:r w:rsidRPr="00FA75F7">
              <w:rPr>
                <w:sz w:val="28"/>
                <w:szCs w:val="28"/>
                <w:vertAlign w:val="superscript"/>
              </w:rPr>
              <w:t>nd</w:t>
            </w:r>
            <w:r>
              <w:rPr>
                <w:sz w:val="28"/>
                <w:szCs w:val="28"/>
              </w:rPr>
              <w:t xml:space="preserve"> dose needed</w:t>
            </w:r>
          </w:p>
        </w:tc>
      </w:tr>
    </w:tbl>
    <w:p w:rsidR="00102758" w:rsidRDefault="00102758" w:rsidP="007653DB">
      <w:pPr>
        <w:spacing w:before="80" w:after="0"/>
        <w:rPr>
          <w:b/>
          <w:szCs w:val="24"/>
        </w:rPr>
      </w:pPr>
      <w:r>
        <w:rPr>
          <w:b/>
          <w:sz w:val="32"/>
          <w:szCs w:val="32"/>
        </w:rPr>
        <w:t>*</w:t>
      </w:r>
      <w:r w:rsidRPr="00FA75F7">
        <w:rPr>
          <w:b/>
          <w:szCs w:val="24"/>
        </w:rPr>
        <w:t>Meningococcal vaccines – FAQ, NCIR Fact sheet: September 2017</w:t>
      </w:r>
      <w:r>
        <w:rPr>
          <w:b/>
          <w:szCs w:val="24"/>
        </w:rPr>
        <w:t xml:space="preserve">, </w:t>
      </w:r>
      <w:hyperlink r:id="rId10" w:history="1">
        <w:r w:rsidR="00ED1A58" w:rsidRPr="0011133F">
          <w:rPr>
            <w:rStyle w:val="Hyperlink"/>
            <w:b/>
            <w:szCs w:val="24"/>
          </w:rPr>
          <w:t>http://www.ncirs.edu.au/assets/provider_resources/fact-sheets/meningococcal-vaccines-FAQ.pdf</w:t>
        </w:r>
      </w:hyperlink>
    </w:p>
    <w:p w:rsidR="00E01229" w:rsidRDefault="00E01229" w:rsidP="007653DB">
      <w:pPr>
        <w:spacing w:before="80" w:after="0"/>
        <w:rPr>
          <w:b/>
          <w:sz w:val="32"/>
          <w:szCs w:val="32"/>
        </w:rPr>
      </w:pPr>
    </w:p>
    <w:p w:rsidR="007653DB" w:rsidRPr="00162F5A" w:rsidRDefault="008D492D" w:rsidP="007653DB">
      <w:pPr>
        <w:spacing w:before="80" w:after="0"/>
        <w:rPr>
          <w:szCs w:val="24"/>
        </w:rPr>
      </w:pPr>
      <w:r w:rsidRPr="008D2D7F">
        <w:rPr>
          <w:b/>
          <w:sz w:val="32"/>
          <w:szCs w:val="32"/>
        </w:rPr>
        <w:t xml:space="preserve">Key points for providers: </w:t>
      </w:r>
    </w:p>
    <w:p w:rsidR="007F2464" w:rsidRPr="007653DB" w:rsidRDefault="007F2464" w:rsidP="007F2464">
      <w:pPr>
        <w:rPr>
          <w:sz w:val="8"/>
          <w:szCs w:val="8"/>
        </w:rPr>
      </w:pPr>
    </w:p>
    <w:p w:rsidR="00372375" w:rsidRPr="00253181" w:rsidRDefault="008D492D" w:rsidP="007653DB">
      <w:pPr>
        <w:pStyle w:val="ListParagraph"/>
        <w:numPr>
          <w:ilvl w:val="0"/>
          <w:numId w:val="4"/>
        </w:numPr>
        <w:tabs>
          <w:tab w:val="left" w:pos="915"/>
        </w:tabs>
        <w:rPr>
          <w:sz w:val="28"/>
          <w:szCs w:val="28"/>
        </w:rPr>
      </w:pPr>
      <w:r w:rsidRPr="00253181">
        <w:rPr>
          <w:b/>
          <w:sz w:val="28"/>
          <w:szCs w:val="28"/>
        </w:rPr>
        <w:t>Menveo</w:t>
      </w:r>
      <w:r w:rsidRPr="00253181">
        <w:rPr>
          <w:sz w:val="28"/>
          <w:szCs w:val="28"/>
        </w:rPr>
        <w:t xml:space="preserve"> </w:t>
      </w:r>
    </w:p>
    <w:p w:rsidR="008D492D" w:rsidRPr="00253181" w:rsidRDefault="00372375" w:rsidP="00372375">
      <w:pPr>
        <w:pStyle w:val="ListParagraph"/>
        <w:numPr>
          <w:ilvl w:val="1"/>
          <w:numId w:val="4"/>
        </w:numPr>
        <w:tabs>
          <w:tab w:val="left" w:pos="915"/>
        </w:tabs>
        <w:rPr>
          <w:sz w:val="28"/>
          <w:szCs w:val="28"/>
        </w:rPr>
      </w:pPr>
      <w:r w:rsidRPr="00253181">
        <w:rPr>
          <w:b/>
          <w:sz w:val="28"/>
          <w:szCs w:val="28"/>
        </w:rPr>
        <w:t xml:space="preserve">Menveo </w:t>
      </w:r>
      <w:r w:rsidR="008D492D" w:rsidRPr="00253181">
        <w:rPr>
          <w:b/>
          <w:sz w:val="28"/>
          <w:szCs w:val="28"/>
        </w:rPr>
        <w:t xml:space="preserve">is the only vaccine </w:t>
      </w:r>
      <w:r w:rsidR="00EF11D7" w:rsidRPr="00253181">
        <w:rPr>
          <w:b/>
          <w:sz w:val="28"/>
          <w:szCs w:val="28"/>
        </w:rPr>
        <w:t>that can be</w:t>
      </w:r>
      <w:r w:rsidR="008D492D" w:rsidRPr="00253181">
        <w:rPr>
          <w:b/>
          <w:sz w:val="28"/>
          <w:szCs w:val="28"/>
        </w:rPr>
        <w:t xml:space="preserve"> given to babies under 12 months of age</w:t>
      </w:r>
      <w:r w:rsidR="008D492D" w:rsidRPr="00253181">
        <w:rPr>
          <w:sz w:val="28"/>
          <w:szCs w:val="28"/>
        </w:rPr>
        <w:t xml:space="preserve">.  </w:t>
      </w:r>
    </w:p>
    <w:p w:rsidR="008D492D" w:rsidRPr="00253181" w:rsidRDefault="008D492D" w:rsidP="00372375">
      <w:pPr>
        <w:pStyle w:val="ListParagraph"/>
        <w:numPr>
          <w:ilvl w:val="1"/>
          <w:numId w:val="4"/>
        </w:numPr>
        <w:tabs>
          <w:tab w:val="left" w:pos="915"/>
        </w:tabs>
        <w:rPr>
          <w:sz w:val="28"/>
          <w:szCs w:val="28"/>
        </w:rPr>
      </w:pPr>
      <w:r w:rsidRPr="00253181">
        <w:rPr>
          <w:sz w:val="28"/>
          <w:szCs w:val="28"/>
        </w:rPr>
        <w:t xml:space="preserve">If Menveo is inadvertently given to a child between12 </w:t>
      </w:r>
      <w:r w:rsidR="00162F5A" w:rsidRPr="00253181">
        <w:rPr>
          <w:sz w:val="28"/>
          <w:szCs w:val="28"/>
        </w:rPr>
        <w:t xml:space="preserve">and </w:t>
      </w:r>
      <w:r w:rsidRPr="00253181">
        <w:rPr>
          <w:sz w:val="28"/>
          <w:szCs w:val="28"/>
        </w:rPr>
        <w:t xml:space="preserve">23 months, another Menveo </w:t>
      </w:r>
      <w:r w:rsidR="00A0643E" w:rsidRPr="00253181">
        <w:rPr>
          <w:sz w:val="28"/>
          <w:szCs w:val="28"/>
        </w:rPr>
        <w:t xml:space="preserve">dose </w:t>
      </w:r>
      <w:r w:rsidRPr="00253181">
        <w:rPr>
          <w:sz w:val="28"/>
          <w:szCs w:val="28"/>
        </w:rPr>
        <w:t xml:space="preserve">will be required in </w:t>
      </w:r>
      <w:r w:rsidR="00ED1A58" w:rsidRPr="00253181">
        <w:rPr>
          <w:sz w:val="28"/>
          <w:szCs w:val="28"/>
        </w:rPr>
        <w:t xml:space="preserve">8 </w:t>
      </w:r>
      <w:r w:rsidRPr="00253181">
        <w:rPr>
          <w:sz w:val="28"/>
          <w:szCs w:val="28"/>
        </w:rPr>
        <w:t xml:space="preserve">weeks.   </w:t>
      </w:r>
    </w:p>
    <w:p w:rsidR="008D492D" w:rsidRPr="00DD220E" w:rsidRDefault="008D492D" w:rsidP="00372375">
      <w:pPr>
        <w:pStyle w:val="ListParagraph"/>
        <w:numPr>
          <w:ilvl w:val="1"/>
          <w:numId w:val="4"/>
        </w:numPr>
        <w:tabs>
          <w:tab w:val="left" w:pos="915"/>
        </w:tabs>
        <w:rPr>
          <w:sz w:val="28"/>
          <w:szCs w:val="28"/>
        </w:rPr>
      </w:pPr>
      <w:r w:rsidRPr="00DD220E">
        <w:rPr>
          <w:sz w:val="28"/>
          <w:szCs w:val="28"/>
        </w:rPr>
        <w:t xml:space="preserve">If Menveo is given to </w:t>
      </w:r>
      <w:r w:rsidR="000D07DB" w:rsidRPr="00DD220E">
        <w:rPr>
          <w:sz w:val="28"/>
          <w:szCs w:val="28"/>
        </w:rPr>
        <w:t xml:space="preserve">healthy individuals </w:t>
      </w:r>
      <w:r w:rsidRPr="00DD220E">
        <w:rPr>
          <w:sz w:val="28"/>
          <w:szCs w:val="28"/>
        </w:rPr>
        <w:t>2 years of age and older there is no need for a further dose.</w:t>
      </w:r>
    </w:p>
    <w:p w:rsidR="00162F5A" w:rsidRPr="00DD220E" w:rsidRDefault="00E82AB1" w:rsidP="007653DB">
      <w:pPr>
        <w:pStyle w:val="ListParagraph"/>
        <w:numPr>
          <w:ilvl w:val="0"/>
          <w:numId w:val="4"/>
        </w:numPr>
        <w:tabs>
          <w:tab w:val="left" w:pos="915"/>
        </w:tabs>
        <w:rPr>
          <w:sz w:val="28"/>
          <w:szCs w:val="28"/>
        </w:rPr>
      </w:pPr>
      <w:r w:rsidRPr="00DD220E">
        <w:rPr>
          <w:sz w:val="28"/>
          <w:szCs w:val="28"/>
        </w:rPr>
        <w:t xml:space="preserve">It is preferable to use the same brand of </w:t>
      </w:r>
      <w:r w:rsidR="00A0643E" w:rsidRPr="00DD220E">
        <w:rPr>
          <w:sz w:val="28"/>
          <w:szCs w:val="28"/>
        </w:rPr>
        <w:t>meningococcal ACWY</w:t>
      </w:r>
      <w:r w:rsidRPr="00DD220E">
        <w:rPr>
          <w:sz w:val="28"/>
          <w:szCs w:val="28"/>
        </w:rPr>
        <w:t xml:space="preserve"> vaccines when giving subsequent doses, especially for completing the primary vaccination course for young children.  However, a different brand may be substituted in cases where the initial brand used in unavailable of not known.</w:t>
      </w:r>
    </w:p>
    <w:p w:rsidR="00EF11D7" w:rsidRPr="00DD220E" w:rsidRDefault="008D2D7F" w:rsidP="00FA75F7">
      <w:pPr>
        <w:pStyle w:val="ListParagraph"/>
        <w:numPr>
          <w:ilvl w:val="0"/>
          <w:numId w:val="4"/>
        </w:numPr>
        <w:tabs>
          <w:tab w:val="left" w:pos="915"/>
        </w:tabs>
        <w:spacing w:after="0"/>
        <w:rPr>
          <w:sz w:val="28"/>
          <w:szCs w:val="28"/>
        </w:rPr>
      </w:pPr>
      <w:r w:rsidRPr="00DD220E">
        <w:rPr>
          <w:b/>
          <w:sz w:val="28"/>
          <w:szCs w:val="28"/>
        </w:rPr>
        <w:t xml:space="preserve">Menveo or </w:t>
      </w:r>
      <w:r w:rsidR="00411D5B" w:rsidRPr="00DD220E">
        <w:rPr>
          <w:b/>
          <w:sz w:val="28"/>
          <w:szCs w:val="28"/>
        </w:rPr>
        <w:t xml:space="preserve">NIMENRIX </w:t>
      </w:r>
      <w:r w:rsidRPr="00DD220E">
        <w:rPr>
          <w:b/>
          <w:sz w:val="28"/>
          <w:szCs w:val="28"/>
        </w:rPr>
        <w:t>can be given on the same day as other vaccine</w:t>
      </w:r>
      <w:r w:rsidR="00ED1A58" w:rsidRPr="00DD220E">
        <w:rPr>
          <w:b/>
          <w:sz w:val="28"/>
          <w:szCs w:val="28"/>
        </w:rPr>
        <w:t>s</w:t>
      </w:r>
      <w:r w:rsidRPr="00DD220E">
        <w:rPr>
          <w:sz w:val="28"/>
          <w:szCs w:val="28"/>
        </w:rPr>
        <w:t xml:space="preserve">, </w:t>
      </w:r>
      <w:r w:rsidR="00A0643E" w:rsidRPr="00DD220E">
        <w:rPr>
          <w:sz w:val="28"/>
          <w:szCs w:val="28"/>
        </w:rPr>
        <w:t>with the exception that ideally</w:t>
      </w:r>
      <w:r w:rsidR="00ED1A58" w:rsidRPr="00DD220E">
        <w:rPr>
          <w:sz w:val="28"/>
          <w:szCs w:val="28"/>
        </w:rPr>
        <w:t xml:space="preserve"> Menitorix</w:t>
      </w:r>
      <w:r w:rsidR="00411D5B">
        <w:rPr>
          <w:sz w:val="28"/>
          <w:szCs w:val="28"/>
        </w:rPr>
        <w:t>®</w:t>
      </w:r>
      <w:r w:rsidR="00ED1A58" w:rsidRPr="00DD220E">
        <w:rPr>
          <w:sz w:val="28"/>
          <w:szCs w:val="28"/>
        </w:rPr>
        <w:t xml:space="preserve"> and </w:t>
      </w:r>
      <w:r w:rsidR="00A0643E" w:rsidRPr="00DD220E">
        <w:rPr>
          <w:sz w:val="28"/>
          <w:szCs w:val="28"/>
        </w:rPr>
        <w:t xml:space="preserve">meningococcal ACWY vaccines </w:t>
      </w:r>
      <w:r w:rsidR="00ED1A58" w:rsidRPr="00DD220E">
        <w:rPr>
          <w:sz w:val="28"/>
          <w:szCs w:val="28"/>
        </w:rPr>
        <w:t xml:space="preserve">should be given at least 4 weeks apart. </w:t>
      </w:r>
      <w:r w:rsidR="00C5729A" w:rsidRPr="00DD220E">
        <w:rPr>
          <w:sz w:val="28"/>
          <w:szCs w:val="28"/>
        </w:rPr>
        <w:t xml:space="preserve">Meningococcal ACWY vaccines can be given at any time </w:t>
      </w:r>
      <w:r w:rsidR="000A342B" w:rsidRPr="00DD220E">
        <w:rPr>
          <w:sz w:val="28"/>
          <w:szCs w:val="28"/>
        </w:rPr>
        <w:t>after</w:t>
      </w:r>
      <w:r w:rsidR="00C5729A" w:rsidRPr="00DD220E">
        <w:rPr>
          <w:sz w:val="28"/>
          <w:szCs w:val="28"/>
        </w:rPr>
        <w:t xml:space="preserve"> previous vaccinations, but there may be an increased risk of </w:t>
      </w:r>
      <w:r w:rsidR="00BE66EF" w:rsidRPr="00DD220E">
        <w:rPr>
          <w:sz w:val="28"/>
          <w:szCs w:val="28"/>
        </w:rPr>
        <w:t>mild</w:t>
      </w:r>
      <w:r w:rsidR="00C5729A" w:rsidRPr="00DD220E">
        <w:rPr>
          <w:sz w:val="28"/>
          <w:szCs w:val="28"/>
        </w:rPr>
        <w:t xml:space="preserve"> reactions if previous vaccinations </w:t>
      </w:r>
      <w:r w:rsidR="000A342B" w:rsidRPr="00DD220E">
        <w:rPr>
          <w:sz w:val="28"/>
          <w:szCs w:val="28"/>
        </w:rPr>
        <w:t>occurred within the past 14 days.</w:t>
      </w:r>
    </w:p>
    <w:p w:rsidR="00EF11D7" w:rsidRPr="00253181" w:rsidRDefault="00253181" w:rsidP="007653DB">
      <w:pPr>
        <w:pStyle w:val="ListParagraph"/>
        <w:numPr>
          <w:ilvl w:val="0"/>
          <w:numId w:val="4"/>
        </w:numPr>
        <w:tabs>
          <w:tab w:val="left" w:pos="915"/>
        </w:tabs>
        <w:spacing w:after="0"/>
        <w:rPr>
          <w:sz w:val="28"/>
          <w:szCs w:val="28"/>
        </w:rPr>
      </w:pPr>
      <w:r w:rsidRPr="00DD220E">
        <w:rPr>
          <w:b/>
          <w:sz w:val="28"/>
          <w:szCs w:val="28"/>
        </w:rPr>
        <w:t xml:space="preserve">Some people are at </w:t>
      </w:r>
      <w:r w:rsidR="00411D5B">
        <w:rPr>
          <w:b/>
          <w:sz w:val="28"/>
          <w:szCs w:val="28"/>
        </w:rPr>
        <w:t>i</w:t>
      </w:r>
      <w:r w:rsidR="00EF11D7" w:rsidRPr="00DD220E">
        <w:rPr>
          <w:b/>
          <w:sz w:val="28"/>
          <w:szCs w:val="28"/>
        </w:rPr>
        <w:t>ncreased risk of invasive meningococcal disease</w:t>
      </w:r>
      <w:r w:rsidRPr="00DD220E">
        <w:rPr>
          <w:b/>
          <w:sz w:val="28"/>
          <w:szCs w:val="28"/>
        </w:rPr>
        <w:t xml:space="preserve"> due to medical conditions</w:t>
      </w:r>
      <w:r w:rsidRPr="00DD220E">
        <w:rPr>
          <w:sz w:val="28"/>
          <w:szCs w:val="28"/>
        </w:rPr>
        <w:t>, which</w:t>
      </w:r>
      <w:r w:rsidR="00EF11D7" w:rsidRPr="00DD220E">
        <w:rPr>
          <w:sz w:val="28"/>
          <w:szCs w:val="28"/>
        </w:rPr>
        <w:t xml:space="preserve"> include</w:t>
      </w:r>
      <w:r w:rsidRPr="00DD220E">
        <w:rPr>
          <w:sz w:val="28"/>
          <w:szCs w:val="28"/>
        </w:rPr>
        <w:t>:</w:t>
      </w:r>
      <w:r w:rsidR="00EF11D7" w:rsidRPr="00DD220E">
        <w:rPr>
          <w:sz w:val="28"/>
          <w:szCs w:val="28"/>
        </w:rPr>
        <w:t xml:space="preserve"> </w:t>
      </w:r>
      <w:r w:rsidR="007653DB" w:rsidRPr="00DD220E">
        <w:rPr>
          <w:sz w:val="28"/>
          <w:szCs w:val="28"/>
        </w:rPr>
        <w:t>functional or anatomical asplenia, HIV</w:t>
      </w:r>
      <w:r w:rsidR="007653DB" w:rsidRPr="00253181">
        <w:rPr>
          <w:sz w:val="28"/>
          <w:szCs w:val="28"/>
        </w:rPr>
        <w:t xml:space="preserve"> infection, haem</w:t>
      </w:r>
      <w:r w:rsidR="00411D5B">
        <w:rPr>
          <w:sz w:val="28"/>
          <w:szCs w:val="28"/>
        </w:rPr>
        <w:t>atopoietic stem cell transplant</w:t>
      </w:r>
      <w:r w:rsidR="007653DB" w:rsidRPr="00253181">
        <w:rPr>
          <w:sz w:val="28"/>
          <w:szCs w:val="28"/>
        </w:rPr>
        <w:t xml:space="preserve">, </w:t>
      </w:r>
      <w:r w:rsidR="00EF11D7" w:rsidRPr="00253181">
        <w:rPr>
          <w:sz w:val="28"/>
          <w:szCs w:val="28"/>
        </w:rPr>
        <w:t xml:space="preserve">defects/deficiency of complement components, </w:t>
      </w:r>
      <w:r w:rsidR="007653DB" w:rsidRPr="00253181">
        <w:rPr>
          <w:sz w:val="28"/>
          <w:szCs w:val="28"/>
        </w:rPr>
        <w:t xml:space="preserve">treatment with eculizumab. </w:t>
      </w:r>
      <w:r w:rsidRPr="00253181">
        <w:rPr>
          <w:sz w:val="28"/>
          <w:szCs w:val="28"/>
        </w:rPr>
        <w:t xml:space="preserve">Be </w:t>
      </w:r>
      <w:r>
        <w:rPr>
          <w:sz w:val="28"/>
          <w:szCs w:val="28"/>
        </w:rPr>
        <w:t>aware that clients that meet the</w:t>
      </w:r>
      <w:r w:rsidRPr="00253181">
        <w:rPr>
          <w:sz w:val="28"/>
          <w:szCs w:val="28"/>
        </w:rPr>
        <w:t>s</w:t>
      </w:r>
      <w:r>
        <w:rPr>
          <w:sz w:val="28"/>
          <w:szCs w:val="28"/>
        </w:rPr>
        <w:t>e</w:t>
      </w:r>
      <w:r w:rsidRPr="00253181">
        <w:rPr>
          <w:sz w:val="28"/>
          <w:szCs w:val="28"/>
        </w:rPr>
        <w:t xml:space="preserve"> criteria require an additional dose using</w:t>
      </w:r>
      <w:r>
        <w:rPr>
          <w:sz w:val="28"/>
          <w:szCs w:val="28"/>
        </w:rPr>
        <w:t xml:space="preserve"> the same vaccine – providers should refer to the </w:t>
      </w:r>
      <w:r w:rsidR="007653DB" w:rsidRPr="00253181">
        <w:rPr>
          <w:sz w:val="28"/>
          <w:szCs w:val="28"/>
        </w:rPr>
        <w:t>Australian Immunisation Handbook 10</w:t>
      </w:r>
      <w:r w:rsidR="007653DB" w:rsidRPr="00253181">
        <w:rPr>
          <w:sz w:val="28"/>
          <w:szCs w:val="28"/>
          <w:vertAlign w:val="superscript"/>
        </w:rPr>
        <w:t>th</w:t>
      </w:r>
      <w:r w:rsidR="007653DB" w:rsidRPr="00253181">
        <w:rPr>
          <w:sz w:val="28"/>
          <w:szCs w:val="28"/>
        </w:rPr>
        <w:t xml:space="preserve"> ed. List 4.10.1</w:t>
      </w:r>
      <w:r w:rsidR="00CF6731" w:rsidRPr="00253181">
        <w:rPr>
          <w:sz w:val="28"/>
          <w:szCs w:val="28"/>
        </w:rPr>
        <w:t>.</w:t>
      </w:r>
      <w:r w:rsidR="007653DB" w:rsidRPr="00253181">
        <w:rPr>
          <w:sz w:val="28"/>
          <w:szCs w:val="28"/>
        </w:rPr>
        <w:t xml:space="preserve"> </w:t>
      </w:r>
    </w:p>
    <w:p w:rsidR="00E01229" w:rsidRPr="00E01229" w:rsidRDefault="00253181" w:rsidP="00E01229">
      <w:pPr>
        <w:pStyle w:val="ListParagraph"/>
        <w:numPr>
          <w:ilvl w:val="0"/>
          <w:numId w:val="4"/>
        </w:numPr>
        <w:tabs>
          <w:tab w:val="left" w:pos="915"/>
        </w:tabs>
        <w:rPr>
          <w:bCs/>
          <w:sz w:val="28"/>
          <w:szCs w:val="28"/>
          <w:lang w:val="en-US"/>
        </w:rPr>
      </w:pPr>
      <w:r w:rsidRPr="00E01229">
        <w:rPr>
          <w:b/>
          <w:sz w:val="28"/>
          <w:szCs w:val="28"/>
        </w:rPr>
        <w:t>Use in Pregnancy and Breastfeeding</w:t>
      </w:r>
      <w:r w:rsidRPr="00E01229">
        <w:rPr>
          <w:sz w:val="28"/>
          <w:szCs w:val="28"/>
        </w:rPr>
        <w:t xml:space="preserve">.  </w:t>
      </w:r>
      <w:r w:rsidR="00E01229" w:rsidRPr="00E01229">
        <w:rPr>
          <w:bCs/>
          <w:sz w:val="28"/>
          <w:szCs w:val="28"/>
        </w:rPr>
        <w:t xml:space="preserve">There is limited experience using MenACWY vaccines in pregnant women. Studies in animals with NIMENRIX brand MenACWY vaccine do not indicate direct or indirect harmful effects with respect to pregnancy, embryo/foetal development, parturition or post-natal development. Still, MenACWY vaccines should be used during pregnancy only when clearly needed, i.e. if the patient is thought to be at increased risk of meningococcal disease, such as living in the communities that are part of the Targeted Regional WA MenW Outbreak Response, and the possible advantages outweigh the potential risks for the foetus.  </w:t>
      </w:r>
      <w:r w:rsidR="00411D5B">
        <w:rPr>
          <w:bCs/>
          <w:sz w:val="28"/>
          <w:szCs w:val="28"/>
          <w:lang w:val="en-US"/>
        </w:rPr>
        <w:t>Breast</w:t>
      </w:r>
      <w:r w:rsidR="00E01229" w:rsidRPr="00E01229">
        <w:rPr>
          <w:bCs/>
          <w:sz w:val="28"/>
          <w:szCs w:val="28"/>
          <w:lang w:val="en-US"/>
        </w:rPr>
        <w:t>feeding women can be offered the vaccination.</w:t>
      </w:r>
    </w:p>
    <w:sectPr w:rsidR="00E01229" w:rsidRPr="00E01229" w:rsidSect="008D2D7F">
      <w:footerReference w:type="default" r:id="rId11"/>
      <w:footerReference w:type="first" r:id="rId12"/>
      <w:pgSz w:w="23814" w:h="16839" w:orient="landscape" w:code="8"/>
      <w:pgMar w:top="426" w:right="709" w:bottom="680" w:left="1843" w:header="392" w:footer="4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457" w:rsidRDefault="00090457" w:rsidP="0013662A">
      <w:pPr>
        <w:spacing w:after="0"/>
      </w:pPr>
      <w:r>
        <w:separator/>
      </w:r>
    </w:p>
  </w:endnote>
  <w:endnote w:type="continuationSeparator" w:id="0">
    <w:p w:rsidR="00090457" w:rsidRDefault="00090457"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1A" w:rsidRPr="00483052" w:rsidRDefault="00521D1A" w:rsidP="00483052">
    <w:pPr>
      <w:pStyle w:val="TEXT"/>
      <w:spacing w:line="240" w:lineRule="auto"/>
      <w:rPr>
        <w:rFonts w:ascii="Arial" w:hAnsi="Arial"/>
        <w:color w:val="095489" w:themeColor="accent1"/>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2A" w:rsidRPr="00232283" w:rsidRDefault="0013662A" w:rsidP="00232283">
    <w:pPr>
      <w:spacing w:after="240"/>
      <w:rPr>
        <w:b/>
        <w:color w:val="095489" w:themeColor="accent2"/>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457" w:rsidRDefault="00090457" w:rsidP="0013662A">
      <w:pPr>
        <w:spacing w:after="0"/>
      </w:pPr>
      <w:r>
        <w:separator/>
      </w:r>
    </w:p>
  </w:footnote>
  <w:footnote w:type="continuationSeparator" w:id="0">
    <w:p w:rsidR="00090457" w:rsidRDefault="00090457" w:rsidP="0013662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937EC"/>
    <w:multiLevelType w:val="hybridMultilevel"/>
    <w:tmpl w:val="9AA2D5EA"/>
    <w:lvl w:ilvl="0" w:tplc="BD70EC64">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A927674"/>
    <w:multiLevelType w:val="hybridMultilevel"/>
    <w:tmpl w:val="2490EA2C"/>
    <w:lvl w:ilvl="0" w:tplc="BD70EC6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8B87318"/>
    <w:multiLevelType w:val="hybridMultilevel"/>
    <w:tmpl w:val="28BE6A7C"/>
    <w:lvl w:ilvl="0" w:tplc="B698920A">
      <w:start w:val="1"/>
      <w:numFmt w:val="decimal"/>
      <w:lvlText w:val="%1."/>
      <w:lvlJc w:val="left"/>
      <w:pPr>
        <w:ind w:left="720" w:hanging="360"/>
      </w:pPr>
      <w:rPr>
        <w:b w:val="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D235F8E"/>
    <w:multiLevelType w:val="hybridMultilevel"/>
    <w:tmpl w:val="A5202C6E"/>
    <w:lvl w:ilvl="0" w:tplc="0C090001">
      <w:start w:val="1"/>
      <w:numFmt w:val="bullet"/>
      <w:lvlText w:val=""/>
      <w:lvlJc w:val="left"/>
      <w:pPr>
        <w:ind w:left="4590" w:hanging="360"/>
      </w:pPr>
      <w:rPr>
        <w:rFonts w:ascii="Symbol" w:hAnsi="Symbol" w:hint="default"/>
      </w:rPr>
    </w:lvl>
    <w:lvl w:ilvl="1" w:tplc="0C090003" w:tentative="1">
      <w:start w:val="1"/>
      <w:numFmt w:val="bullet"/>
      <w:lvlText w:val="o"/>
      <w:lvlJc w:val="left"/>
      <w:pPr>
        <w:ind w:left="5310" w:hanging="360"/>
      </w:pPr>
      <w:rPr>
        <w:rFonts w:ascii="Courier New" w:hAnsi="Courier New" w:cs="Courier New" w:hint="default"/>
      </w:rPr>
    </w:lvl>
    <w:lvl w:ilvl="2" w:tplc="0C090005" w:tentative="1">
      <w:start w:val="1"/>
      <w:numFmt w:val="bullet"/>
      <w:lvlText w:val=""/>
      <w:lvlJc w:val="left"/>
      <w:pPr>
        <w:ind w:left="6030" w:hanging="360"/>
      </w:pPr>
      <w:rPr>
        <w:rFonts w:ascii="Wingdings" w:hAnsi="Wingdings" w:hint="default"/>
      </w:rPr>
    </w:lvl>
    <w:lvl w:ilvl="3" w:tplc="0C090001" w:tentative="1">
      <w:start w:val="1"/>
      <w:numFmt w:val="bullet"/>
      <w:lvlText w:val=""/>
      <w:lvlJc w:val="left"/>
      <w:pPr>
        <w:ind w:left="6750" w:hanging="360"/>
      </w:pPr>
      <w:rPr>
        <w:rFonts w:ascii="Symbol" w:hAnsi="Symbol" w:hint="default"/>
      </w:rPr>
    </w:lvl>
    <w:lvl w:ilvl="4" w:tplc="0C090003" w:tentative="1">
      <w:start w:val="1"/>
      <w:numFmt w:val="bullet"/>
      <w:lvlText w:val="o"/>
      <w:lvlJc w:val="left"/>
      <w:pPr>
        <w:ind w:left="7470" w:hanging="360"/>
      </w:pPr>
      <w:rPr>
        <w:rFonts w:ascii="Courier New" w:hAnsi="Courier New" w:cs="Courier New" w:hint="default"/>
      </w:rPr>
    </w:lvl>
    <w:lvl w:ilvl="5" w:tplc="0C090005" w:tentative="1">
      <w:start w:val="1"/>
      <w:numFmt w:val="bullet"/>
      <w:lvlText w:val=""/>
      <w:lvlJc w:val="left"/>
      <w:pPr>
        <w:ind w:left="8190" w:hanging="360"/>
      </w:pPr>
      <w:rPr>
        <w:rFonts w:ascii="Wingdings" w:hAnsi="Wingdings" w:hint="default"/>
      </w:rPr>
    </w:lvl>
    <w:lvl w:ilvl="6" w:tplc="0C090001" w:tentative="1">
      <w:start w:val="1"/>
      <w:numFmt w:val="bullet"/>
      <w:lvlText w:val=""/>
      <w:lvlJc w:val="left"/>
      <w:pPr>
        <w:ind w:left="8910" w:hanging="360"/>
      </w:pPr>
      <w:rPr>
        <w:rFonts w:ascii="Symbol" w:hAnsi="Symbol" w:hint="default"/>
      </w:rPr>
    </w:lvl>
    <w:lvl w:ilvl="7" w:tplc="0C090003" w:tentative="1">
      <w:start w:val="1"/>
      <w:numFmt w:val="bullet"/>
      <w:lvlText w:val="o"/>
      <w:lvlJc w:val="left"/>
      <w:pPr>
        <w:ind w:left="9630" w:hanging="360"/>
      </w:pPr>
      <w:rPr>
        <w:rFonts w:ascii="Courier New" w:hAnsi="Courier New" w:cs="Courier New" w:hint="default"/>
      </w:rPr>
    </w:lvl>
    <w:lvl w:ilvl="8" w:tplc="0C090005" w:tentative="1">
      <w:start w:val="1"/>
      <w:numFmt w:val="bullet"/>
      <w:lvlText w:val=""/>
      <w:lvlJc w:val="left"/>
      <w:pPr>
        <w:ind w:left="10350" w:hanging="360"/>
      </w:pPr>
      <w:rPr>
        <w:rFonts w:ascii="Wingdings" w:hAnsi="Wingdings" w:hint="default"/>
      </w:rPr>
    </w:lvl>
  </w:abstractNum>
  <w:abstractNum w:abstractNumId="4">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95489"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42"/>
  <w:drawingGridVerticalSpacing w:val="14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7BD"/>
    <w:rsid w:val="000244A9"/>
    <w:rsid w:val="000261E4"/>
    <w:rsid w:val="000817F3"/>
    <w:rsid w:val="00090457"/>
    <w:rsid w:val="00090F60"/>
    <w:rsid w:val="000A342B"/>
    <w:rsid w:val="000C28F0"/>
    <w:rsid w:val="000D07DB"/>
    <w:rsid w:val="00102758"/>
    <w:rsid w:val="0013662A"/>
    <w:rsid w:val="001437E0"/>
    <w:rsid w:val="00162F5A"/>
    <w:rsid w:val="00171B7B"/>
    <w:rsid w:val="001C59F8"/>
    <w:rsid w:val="001C7D1F"/>
    <w:rsid w:val="001F6030"/>
    <w:rsid w:val="001F68E9"/>
    <w:rsid w:val="00220E8F"/>
    <w:rsid w:val="00225BA8"/>
    <w:rsid w:val="00232283"/>
    <w:rsid w:val="00253181"/>
    <w:rsid w:val="00265726"/>
    <w:rsid w:val="002C7D7D"/>
    <w:rsid w:val="002E5F5B"/>
    <w:rsid w:val="0033359F"/>
    <w:rsid w:val="00355004"/>
    <w:rsid w:val="00372375"/>
    <w:rsid w:val="003929E7"/>
    <w:rsid w:val="00411D5B"/>
    <w:rsid w:val="00466DB9"/>
    <w:rsid w:val="00471692"/>
    <w:rsid w:val="00483052"/>
    <w:rsid w:val="00492C70"/>
    <w:rsid w:val="004A609E"/>
    <w:rsid w:val="004C2780"/>
    <w:rsid w:val="004C27CB"/>
    <w:rsid w:val="004C4389"/>
    <w:rsid w:val="004C6976"/>
    <w:rsid w:val="004F424D"/>
    <w:rsid w:val="00521D1A"/>
    <w:rsid w:val="005245D6"/>
    <w:rsid w:val="0053472A"/>
    <w:rsid w:val="00545926"/>
    <w:rsid w:val="0056716B"/>
    <w:rsid w:val="00580111"/>
    <w:rsid w:val="00586C7A"/>
    <w:rsid w:val="00597A85"/>
    <w:rsid w:val="005A409E"/>
    <w:rsid w:val="005A4DC8"/>
    <w:rsid w:val="005B3D67"/>
    <w:rsid w:val="005D455D"/>
    <w:rsid w:val="00656C2E"/>
    <w:rsid w:val="00673E6F"/>
    <w:rsid w:val="006F1E2D"/>
    <w:rsid w:val="006F52D0"/>
    <w:rsid w:val="0070521B"/>
    <w:rsid w:val="007456FD"/>
    <w:rsid w:val="00753150"/>
    <w:rsid w:val="007653DB"/>
    <w:rsid w:val="0077027C"/>
    <w:rsid w:val="00783784"/>
    <w:rsid w:val="00794DF0"/>
    <w:rsid w:val="007C3222"/>
    <w:rsid w:val="007D3AE7"/>
    <w:rsid w:val="007D793C"/>
    <w:rsid w:val="007E2787"/>
    <w:rsid w:val="007F2464"/>
    <w:rsid w:val="007F465A"/>
    <w:rsid w:val="00810D5B"/>
    <w:rsid w:val="00881846"/>
    <w:rsid w:val="00882643"/>
    <w:rsid w:val="00885FFD"/>
    <w:rsid w:val="00897837"/>
    <w:rsid w:val="008C00D0"/>
    <w:rsid w:val="008C6F0A"/>
    <w:rsid w:val="008D080E"/>
    <w:rsid w:val="008D2D7F"/>
    <w:rsid w:val="008D492D"/>
    <w:rsid w:val="008E3665"/>
    <w:rsid w:val="008F7FE4"/>
    <w:rsid w:val="009268E4"/>
    <w:rsid w:val="00930DF8"/>
    <w:rsid w:val="00933CEB"/>
    <w:rsid w:val="009668ED"/>
    <w:rsid w:val="00981DA1"/>
    <w:rsid w:val="00990D6C"/>
    <w:rsid w:val="009B0844"/>
    <w:rsid w:val="00A0643E"/>
    <w:rsid w:val="00A91C4C"/>
    <w:rsid w:val="00AA1620"/>
    <w:rsid w:val="00AA59CF"/>
    <w:rsid w:val="00AB5F70"/>
    <w:rsid w:val="00AF0C79"/>
    <w:rsid w:val="00AF137C"/>
    <w:rsid w:val="00B17ECC"/>
    <w:rsid w:val="00B85FD3"/>
    <w:rsid w:val="00BB5682"/>
    <w:rsid w:val="00BC41DC"/>
    <w:rsid w:val="00BD41EB"/>
    <w:rsid w:val="00BD7C33"/>
    <w:rsid w:val="00BE3C2D"/>
    <w:rsid w:val="00BE66EF"/>
    <w:rsid w:val="00C5729A"/>
    <w:rsid w:val="00C61CC9"/>
    <w:rsid w:val="00C7143D"/>
    <w:rsid w:val="00C729CE"/>
    <w:rsid w:val="00C74D35"/>
    <w:rsid w:val="00CF2778"/>
    <w:rsid w:val="00CF64E2"/>
    <w:rsid w:val="00CF6731"/>
    <w:rsid w:val="00D147D4"/>
    <w:rsid w:val="00D636EE"/>
    <w:rsid w:val="00D9301F"/>
    <w:rsid w:val="00DD1AC4"/>
    <w:rsid w:val="00DD220E"/>
    <w:rsid w:val="00DD22D0"/>
    <w:rsid w:val="00DE4BFE"/>
    <w:rsid w:val="00DE76FA"/>
    <w:rsid w:val="00E01229"/>
    <w:rsid w:val="00E40563"/>
    <w:rsid w:val="00E42D11"/>
    <w:rsid w:val="00E47483"/>
    <w:rsid w:val="00E775B0"/>
    <w:rsid w:val="00E82AB1"/>
    <w:rsid w:val="00E849F1"/>
    <w:rsid w:val="00ED1A58"/>
    <w:rsid w:val="00ED3C93"/>
    <w:rsid w:val="00EF11D7"/>
    <w:rsid w:val="00F37FF9"/>
    <w:rsid w:val="00F647BD"/>
    <w:rsid w:val="00F860DA"/>
    <w:rsid w:val="00FA75F7"/>
    <w:rsid w:val="00FF0D8D"/>
    <w:rsid w:val="00FF1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95489"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95489"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95489"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95489"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95489"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95489"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63E66"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09548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pPr>
        <w:spacing w:before="0" w:after="0" w:line="240" w:lineRule="auto"/>
      </w:pPr>
      <w:rPr>
        <w:b/>
        <w:bCs/>
        <w:color w:val="FFFFFF" w:themeColor="background1"/>
      </w:rPr>
      <w:tbl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Shading-Accent1">
    <w:name w:val="Light Shading Accent 1"/>
    <w:basedOn w:val="TableNormal"/>
    <w:uiPriority w:val="60"/>
    <w:rsid w:val="001F68E9"/>
    <w:pPr>
      <w:spacing w:after="0" w:line="240" w:lineRule="auto"/>
    </w:pPr>
    <w:rPr>
      <w:color w:val="063E66" w:themeColor="accent1" w:themeShade="BF"/>
    </w:rPr>
    <w:tblPr>
      <w:tblStyleRowBandSize w:val="1"/>
      <w:tblStyleColBandSize w:val="1"/>
      <w:tblBorders>
        <w:top w:val="single" w:sz="8" w:space="0" w:color="095489" w:themeColor="accent1"/>
        <w:bottom w:val="single" w:sz="8" w:space="0" w:color="095489" w:themeColor="accent1"/>
      </w:tblBorders>
    </w:tblPr>
    <w:tblStylePr w:type="fir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AAD8F9"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insideH w:val="single" w:sz="8" w:space="0" w:color="095489" w:themeColor="accent1"/>
        <w:insideV w:val="single" w:sz="8" w:space="0" w:color="0954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AAD8F9" w:themeFill="accent1" w:themeFillTint="3F"/>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095489" w:themeFill="accent2"/>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single" w:sz="8" w:space="0" w:color="0E88DE" w:themeColor="accent1" w:themeTint="BF"/>
      </w:tblBorders>
    </w:tblPr>
    <w:tblStylePr w:type="firstRow">
      <w:pPr>
        <w:spacing w:before="0" w:after="0" w:line="240" w:lineRule="auto"/>
      </w:pPr>
      <w:rPr>
        <w:b/>
        <w:bCs/>
        <w:color w:val="FFFFFF" w:themeColor="background1"/>
      </w:rPr>
      <w:tbl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AAD8F9"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9548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95489" w:themeColor="accent1"/>
        <w:bottom w:val="single" w:sz="8" w:space="0" w:color="095489" w:themeColor="accent1"/>
      </w:tblBorders>
    </w:tblPr>
    <w:tblStylePr w:type="firstRow">
      <w:rPr>
        <w:rFonts w:asciiTheme="majorHAnsi" w:eastAsiaTheme="majorEastAsia" w:hAnsiTheme="majorHAnsi" w:cstheme="majorBidi"/>
      </w:rPr>
      <w:tbl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AAD8F9"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095489"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09548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rPr>
        <w:sz w:val="24"/>
        <w:szCs w:val="24"/>
      </w:rPr>
      <w:tbl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AAD8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character" w:styleId="CommentReference">
    <w:name w:val="annotation reference"/>
    <w:basedOn w:val="DefaultParagraphFont"/>
    <w:uiPriority w:val="99"/>
    <w:semiHidden/>
    <w:rsid w:val="008D492D"/>
    <w:rPr>
      <w:sz w:val="16"/>
      <w:szCs w:val="16"/>
    </w:rPr>
  </w:style>
  <w:style w:type="paragraph" w:styleId="CommentText">
    <w:name w:val="annotation text"/>
    <w:basedOn w:val="Normal"/>
    <w:link w:val="CommentTextChar"/>
    <w:uiPriority w:val="99"/>
    <w:semiHidden/>
    <w:rsid w:val="008D492D"/>
    <w:rPr>
      <w:sz w:val="20"/>
      <w:szCs w:val="20"/>
    </w:rPr>
  </w:style>
  <w:style w:type="character" w:customStyle="1" w:styleId="CommentTextChar">
    <w:name w:val="Comment Text Char"/>
    <w:basedOn w:val="DefaultParagraphFont"/>
    <w:link w:val="CommentText"/>
    <w:uiPriority w:val="99"/>
    <w:semiHidden/>
    <w:rsid w:val="008D492D"/>
    <w:rPr>
      <w:rFonts w:ascii="Arial" w:hAnsi="Arial"/>
      <w:sz w:val="20"/>
      <w:szCs w:val="20"/>
    </w:rPr>
  </w:style>
  <w:style w:type="paragraph" w:styleId="CommentSubject">
    <w:name w:val="annotation subject"/>
    <w:basedOn w:val="CommentText"/>
    <w:next w:val="CommentText"/>
    <w:link w:val="CommentSubjectChar"/>
    <w:uiPriority w:val="99"/>
    <w:semiHidden/>
    <w:rsid w:val="008D492D"/>
    <w:rPr>
      <w:b/>
      <w:bCs/>
    </w:rPr>
  </w:style>
  <w:style w:type="character" w:customStyle="1" w:styleId="CommentSubjectChar">
    <w:name w:val="Comment Subject Char"/>
    <w:basedOn w:val="CommentTextChar"/>
    <w:link w:val="CommentSubject"/>
    <w:uiPriority w:val="99"/>
    <w:semiHidden/>
    <w:rsid w:val="008D492D"/>
    <w:rPr>
      <w:rFonts w:ascii="Arial" w:hAnsi="Arial"/>
      <w:b/>
      <w:bCs/>
      <w:sz w:val="20"/>
      <w:szCs w:val="20"/>
    </w:rPr>
  </w:style>
  <w:style w:type="character" w:styleId="FollowedHyperlink">
    <w:name w:val="FollowedHyperlink"/>
    <w:basedOn w:val="DefaultParagraphFont"/>
    <w:uiPriority w:val="99"/>
    <w:semiHidden/>
    <w:rsid w:val="00FA75F7"/>
    <w:rPr>
      <w:color w:val="6E298D" w:themeColor="followedHyperlink"/>
      <w:u w:val="single"/>
    </w:rPr>
  </w:style>
  <w:style w:type="paragraph" w:styleId="FootnoteText">
    <w:name w:val="footnote text"/>
    <w:basedOn w:val="Normal"/>
    <w:link w:val="FootnoteTextChar"/>
    <w:uiPriority w:val="99"/>
    <w:semiHidden/>
    <w:rsid w:val="00253181"/>
    <w:pPr>
      <w:spacing w:after="0"/>
    </w:pPr>
    <w:rPr>
      <w:sz w:val="20"/>
      <w:szCs w:val="20"/>
    </w:rPr>
  </w:style>
  <w:style w:type="character" w:customStyle="1" w:styleId="FootnoteTextChar">
    <w:name w:val="Footnote Text Char"/>
    <w:basedOn w:val="DefaultParagraphFont"/>
    <w:link w:val="FootnoteText"/>
    <w:uiPriority w:val="99"/>
    <w:semiHidden/>
    <w:rsid w:val="00253181"/>
    <w:rPr>
      <w:rFonts w:ascii="Arial" w:hAnsi="Arial"/>
      <w:sz w:val="20"/>
      <w:szCs w:val="20"/>
    </w:rPr>
  </w:style>
  <w:style w:type="character" w:styleId="FootnoteReference">
    <w:name w:val="footnote reference"/>
    <w:basedOn w:val="DefaultParagraphFont"/>
    <w:uiPriority w:val="99"/>
    <w:semiHidden/>
    <w:rsid w:val="002531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95489"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95489"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95489"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95489"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95489"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95489"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63E66"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09548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pPr>
        <w:spacing w:before="0" w:after="0" w:line="240" w:lineRule="auto"/>
      </w:pPr>
      <w:rPr>
        <w:b/>
        <w:bCs/>
        <w:color w:val="FFFFFF" w:themeColor="background1"/>
      </w:rPr>
      <w:tbl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Shading-Accent1">
    <w:name w:val="Light Shading Accent 1"/>
    <w:basedOn w:val="TableNormal"/>
    <w:uiPriority w:val="60"/>
    <w:rsid w:val="001F68E9"/>
    <w:pPr>
      <w:spacing w:after="0" w:line="240" w:lineRule="auto"/>
    </w:pPr>
    <w:rPr>
      <w:color w:val="063E66" w:themeColor="accent1" w:themeShade="BF"/>
    </w:rPr>
    <w:tblPr>
      <w:tblStyleRowBandSize w:val="1"/>
      <w:tblStyleColBandSize w:val="1"/>
      <w:tblBorders>
        <w:top w:val="single" w:sz="8" w:space="0" w:color="095489" w:themeColor="accent1"/>
        <w:bottom w:val="single" w:sz="8" w:space="0" w:color="095489" w:themeColor="accent1"/>
      </w:tblBorders>
    </w:tblPr>
    <w:tblStylePr w:type="fir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AAD8F9"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insideH w:val="single" w:sz="8" w:space="0" w:color="095489" w:themeColor="accent1"/>
        <w:insideV w:val="single" w:sz="8" w:space="0" w:color="0954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AAD8F9" w:themeFill="accent1" w:themeFillTint="3F"/>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095489" w:themeFill="accent2"/>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single" w:sz="8" w:space="0" w:color="0E88DE" w:themeColor="accent1" w:themeTint="BF"/>
      </w:tblBorders>
    </w:tblPr>
    <w:tblStylePr w:type="firstRow">
      <w:pPr>
        <w:spacing w:before="0" w:after="0" w:line="240" w:lineRule="auto"/>
      </w:pPr>
      <w:rPr>
        <w:b/>
        <w:bCs/>
        <w:color w:val="FFFFFF" w:themeColor="background1"/>
      </w:rPr>
      <w:tbl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AAD8F9"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9548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95489" w:themeColor="accent1"/>
        <w:bottom w:val="single" w:sz="8" w:space="0" w:color="095489" w:themeColor="accent1"/>
      </w:tblBorders>
    </w:tblPr>
    <w:tblStylePr w:type="firstRow">
      <w:rPr>
        <w:rFonts w:asciiTheme="majorHAnsi" w:eastAsiaTheme="majorEastAsia" w:hAnsiTheme="majorHAnsi" w:cstheme="majorBidi"/>
      </w:rPr>
      <w:tbl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AAD8F9"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095489"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09548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rPr>
        <w:sz w:val="24"/>
        <w:szCs w:val="24"/>
      </w:rPr>
      <w:tbl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AAD8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character" w:styleId="CommentReference">
    <w:name w:val="annotation reference"/>
    <w:basedOn w:val="DefaultParagraphFont"/>
    <w:uiPriority w:val="99"/>
    <w:semiHidden/>
    <w:rsid w:val="008D492D"/>
    <w:rPr>
      <w:sz w:val="16"/>
      <w:szCs w:val="16"/>
    </w:rPr>
  </w:style>
  <w:style w:type="paragraph" w:styleId="CommentText">
    <w:name w:val="annotation text"/>
    <w:basedOn w:val="Normal"/>
    <w:link w:val="CommentTextChar"/>
    <w:uiPriority w:val="99"/>
    <w:semiHidden/>
    <w:rsid w:val="008D492D"/>
    <w:rPr>
      <w:sz w:val="20"/>
      <w:szCs w:val="20"/>
    </w:rPr>
  </w:style>
  <w:style w:type="character" w:customStyle="1" w:styleId="CommentTextChar">
    <w:name w:val="Comment Text Char"/>
    <w:basedOn w:val="DefaultParagraphFont"/>
    <w:link w:val="CommentText"/>
    <w:uiPriority w:val="99"/>
    <w:semiHidden/>
    <w:rsid w:val="008D492D"/>
    <w:rPr>
      <w:rFonts w:ascii="Arial" w:hAnsi="Arial"/>
      <w:sz w:val="20"/>
      <w:szCs w:val="20"/>
    </w:rPr>
  </w:style>
  <w:style w:type="paragraph" w:styleId="CommentSubject">
    <w:name w:val="annotation subject"/>
    <w:basedOn w:val="CommentText"/>
    <w:next w:val="CommentText"/>
    <w:link w:val="CommentSubjectChar"/>
    <w:uiPriority w:val="99"/>
    <w:semiHidden/>
    <w:rsid w:val="008D492D"/>
    <w:rPr>
      <w:b/>
      <w:bCs/>
    </w:rPr>
  </w:style>
  <w:style w:type="character" w:customStyle="1" w:styleId="CommentSubjectChar">
    <w:name w:val="Comment Subject Char"/>
    <w:basedOn w:val="CommentTextChar"/>
    <w:link w:val="CommentSubject"/>
    <w:uiPriority w:val="99"/>
    <w:semiHidden/>
    <w:rsid w:val="008D492D"/>
    <w:rPr>
      <w:rFonts w:ascii="Arial" w:hAnsi="Arial"/>
      <w:b/>
      <w:bCs/>
      <w:sz w:val="20"/>
      <w:szCs w:val="20"/>
    </w:rPr>
  </w:style>
  <w:style w:type="character" w:styleId="FollowedHyperlink">
    <w:name w:val="FollowedHyperlink"/>
    <w:basedOn w:val="DefaultParagraphFont"/>
    <w:uiPriority w:val="99"/>
    <w:semiHidden/>
    <w:rsid w:val="00FA75F7"/>
    <w:rPr>
      <w:color w:val="6E298D" w:themeColor="followedHyperlink"/>
      <w:u w:val="single"/>
    </w:rPr>
  </w:style>
  <w:style w:type="paragraph" w:styleId="FootnoteText">
    <w:name w:val="footnote text"/>
    <w:basedOn w:val="Normal"/>
    <w:link w:val="FootnoteTextChar"/>
    <w:uiPriority w:val="99"/>
    <w:semiHidden/>
    <w:rsid w:val="00253181"/>
    <w:pPr>
      <w:spacing w:after="0"/>
    </w:pPr>
    <w:rPr>
      <w:sz w:val="20"/>
      <w:szCs w:val="20"/>
    </w:rPr>
  </w:style>
  <w:style w:type="character" w:customStyle="1" w:styleId="FootnoteTextChar">
    <w:name w:val="Footnote Text Char"/>
    <w:basedOn w:val="DefaultParagraphFont"/>
    <w:link w:val="FootnoteText"/>
    <w:uiPriority w:val="99"/>
    <w:semiHidden/>
    <w:rsid w:val="00253181"/>
    <w:rPr>
      <w:rFonts w:ascii="Arial" w:hAnsi="Arial"/>
      <w:sz w:val="20"/>
      <w:szCs w:val="20"/>
    </w:rPr>
  </w:style>
  <w:style w:type="character" w:styleId="FootnoteReference">
    <w:name w:val="footnote reference"/>
    <w:basedOn w:val="DefaultParagraphFont"/>
    <w:uiPriority w:val="99"/>
    <w:semiHidden/>
    <w:rsid w:val="002531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cirs.edu.au/assets/provider_resources/fact-sheets/meningococcal-vaccines-FAQ.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PMS 2945 2014">
      <a:dk1>
        <a:sysClr val="windowText" lastClr="000000"/>
      </a:dk1>
      <a:lt1>
        <a:sysClr val="window" lastClr="FFFFFF"/>
      </a:lt1>
      <a:dk2>
        <a:srgbClr val="757477"/>
      </a:dk2>
      <a:lt2>
        <a:srgbClr val="FFFFFF"/>
      </a:lt2>
      <a:accent1>
        <a:srgbClr val="095489"/>
      </a:accent1>
      <a:accent2>
        <a:srgbClr val="095489"/>
      </a:accent2>
      <a:accent3>
        <a:srgbClr val="095489"/>
      </a:accent3>
      <a:accent4>
        <a:srgbClr val="095489"/>
      </a:accent4>
      <a:accent5>
        <a:srgbClr val="095489"/>
      </a:accent5>
      <a:accent6>
        <a:srgbClr val="095489"/>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891C8-6B1A-4846-984E-6F6C70B5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Flyer Template</vt:lpstr>
    </vt:vector>
  </TitlesOfParts>
  <Company>WA Health</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 Template</dc:title>
  <dc:creator>Dobson, Steve</dc:creator>
  <cp:keywords>flyer, template, doh</cp:keywords>
  <dc:description>Department of Health's flyer templates for consumers</dc:description>
  <cp:lastModifiedBy>Gibbs, Robyn</cp:lastModifiedBy>
  <cp:revision>2</cp:revision>
  <cp:lastPrinted>2017-10-18T06:34:00Z</cp:lastPrinted>
  <dcterms:created xsi:type="dcterms:W3CDTF">2017-10-24T02:01:00Z</dcterms:created>
  <dcterms:modified xsi:type="dcterms:W3CDTF">2017-10-24T02:01:00Z</dcterms:modified>
</cp:coreProperties>
</file>