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1CE61" w14:textId="77777777" w:rsidR="00283C2B" w:rsidRDefault="00283C2B" w:rsidP="00283C2B">
      <w:pPr>
        <w:ind w:right="833"/>
        <w:jc w:val="center"/>
        <w:rPr>
          <w:rFonts w:cs="Arial"/>
          <w:b/>
          <w:color w:val="000066"/>
          <w:sz w:val="32"/>
          <w:szCs w:val="32"/>
        </w:rPr>
      </w:pPr>
    </w:p>
    <w:p w14:paraId="319DD618" w14:textId="77777777" w:rsidR="00EA22A9" w:rsidRDefault="00EA22A9" w:rsidP="00EA22A9">
      <w:pPr>
        <w:spacing w:after="80"/>
        <w:jc w:val="center"/>
        <w:outlineLvl w:val="0"/>
        <w:rPr>
          <w:rFonts w:cs="Arial"/>
          <w:b/>
          <w:color w:val="003366"/>
          <w:sz w:val="36"/>
          <w:szCs w:val="36"/>
        </w:rPr>
      </w:pPr>
      <w:r>
        <w:rPr>
          <w:rFonts w:cs="Arial"/>
          <w:b/>
          <w:color w:val="003366"/>
          <w:sz w:val="36"/>
          <w:szCs w:val="36"/>
        </w:rPr>
        <w:t>&lt;&lt;&lt;REGION NAME&gt;&gt;&gt;&gt; Population Health</w:t>
      </w:r>
      <w:r w:rsidRPr="00834C28">
        <w:rPr>
          <w:rFonts w:cs="Arial"/>
          <w:b/>
          <w:color w:val="003366"/>
          <w:sz w:val="36"/>
          <w:szCs w:val="36"/>
        </w:rPr>
        <w:t xml:space="preserve"> </w:t>
      </w:r>
    </w:p>
    <w:p w14:paraId="0F2B374E" w14:textId="77777777" w:rsidR="00EA22A9" w:rsidRPr="00EA22A9" w:rsidRDefault="00EA22A9" w:rsidP="00EA22A9">
      <w:pPr>
        <w:spacing w:after="80"/>
        <w:jc w:val="center"/>
        <w:outlineLvl w:val="0"/>
        <w:rPr>
          <w:rFonts w:cs="Arial"/>
          <w:b/>
          <w:color w:val="FF0000"/>
          <w:sz w:val="32"/>
          <w:szCs w:val="32"/>
        </w:rPr>
      </w:pPr>
      <w:r w:rsidRPr="00EA22A9">
        <w:rPr>
          <w:rFonts w:cs="Arial"/>
          <w:b/>
          <w:color w:val="FF0000"/>
          <w:sz w:val="32"/>
          <w:szCs w:val="32"/>
        </w:rPr>
        <w:t xml:space="preserve">Targeted Regional WA </w:t>
      </w:r>
      <w:proofErr w:type="spellStart"/>
      <w:r w:rsidRPr="00EA22A9">
        <w:rPr>
          <w:rFonts w:cs="Arial"/>
          <w:b/>
          <w:color w:val="FF0000"/>
          <w:sz w:val="32"/>
          <w:szCs w:val="32"/>
        </w:rPr>
        <w:t>MenW</w:t>
      </w:r>
      <w:proofErr w:type="spellEnd"/>
      <w:r w:rsidRPr="00EA22A9">
        <w:rPr>
          <w:rFonts w:cs="Arial"/>
          <w:b/>
          <w:color w:val="FF0000"/>
          <w:sz w:val="32"/>
          <w:szCs w:val="32"/>
        </w:rPr>
        <w:t xml:space="preserve"> Outbreak Response</w:t>
      </w:r>
    </w:p>
    <w:p w14:paraId="07F563FC" w14:textId="77777777" w:rsidR="00EA22A9" w:rsidRPr="00333192" w:rsidRDefault="00EA22A9" w:rsidP="00EA22A9">
      <w:pPr>
        <w:spacing w:after="80"/>
        <w:jc w:val="center"/>
        <w:outlineLvl w:val="0"/>
        <w:rPr>
          <w:rFonts w:cs="Arial"/>
          <w:b/>
          <w:color w:val="003366"/>
          <w:sz w:val="28"/>
          <w:szCs w:val="22"/>
        </w:rPr>
      </w:pPr>
      <w:r>
        <w:rPr>
          <w:rFonts w:cs="Arial"/>
          <w:b/>
          <w:color w:val="003366"/>
          <w:sz w:val="28"/>
          <w:szCs w:val="22"/>
        </w:rPr>
        <w:t>October - December, 2017</w:t>
      </w:r>
    </w:p>
    <w:p w14:paraId="6C097A4F" w14:textId="77777777" w:rsidR="00EA22A9" w:rsidRPr="00283C2B" w:rsidRDefault="00EA22A9" w:rsidP="00EA22A9">
      <w:pPr>
        <w:spacing w:after="60"/>
        <w:rPr>
          <w:rFonts w:cs="Arial"/>
          <w:bCs/>
          <w:color w:val="333333"/>
          <w:sz w:val="6"/>
          <w:szCs w:val="6"/>
          <w:lang w:val="en-AU" w:eastAsia="en-AU"/>
        </w:rPr>
      </w:pPr>
    </w:p>
    <w:p w14:paraId="642C32B6" w14:textId="48A3512D" w:rsidR="00EA22A9" w:rsidRPr="00EA22A9" w:rsidRDefault="00EA22A9" w:rsidP="00EA22A9">
      <w:pPr>
        <w:spacing w:after="60"/>
        <w:jc w:val="both"/>
        <w:rPr>
          <w:rFonts w:cs="Arial"/>
          <w:bCs/>
          <w:lang w:val="en-AU" w:eastAsia="en-AU"/>
        </w:rPr>
      </w:pPr>
      <w:r w:rsidRPr="00EA22A9">
        <w:rPr>
          <w:rFonts w:cs="Arial"/>
          <w:bCs/>
          <w:lang w:val="en-AU" w:eastAsia="en-AU"/>
        </w:rPr>
        <w:t>An outbreak of Meningococcal disease, serogroup W (MenW), started in Central Australia in July 2017. Aboriginal people living in some areas in the Northern Territory and South Australia (SA) have been affected.</w:t>
      </w:r>
      <w:r w:rsidR="00D80A07">
        <w:rPr>
          <w:rFonts w:cs="Arial"/>
          <w:bCs/>
          <w:lang w:val="en-AU" w:eastAsia="en-AU"/>
        </w:rPr>
        <w:t xml:space="preserve">  </w:t>
      </w:r>
      <w:r w:rsidRPr="00EA22A9">
        <w:rPr>
          <w:rFonts w:cs="Arial"/>
          <w:bCs/>
          <w:iCs/>
          <w:lang w:val="en-AU" w:eastAsia="en-AU"/>
        </w:rPr>
        <w:t xml:space="preserve">To prevent further transmission and cases of MenW in Western Australia, WA Health has announced a </w:t>
      </w:r>
      <w:r w:rsidRPr="00EA22A9">
        <w:rPr>
          <w:rFonts w:cs="Arial"/>
          <w:b/>
          <w:bCs/>
          <w:iCs/>
          <w:lang w:val="en-AU" w:eastAsia="en-AU"/>
        </w:rPr>
        <w:t>‘Targeted Regional WA MenW Outbreak Response’ vaccination campaign</w:t>
      </w:r>
      <w:r w:rsidRPr="00EA22A9">
        <w:rPr>
          <w:rFonts w:cs="Arial"/>
          <w:bCs/>
          <w:iCs/>
          <w:lang w:val="en-AU" w:eastAsia="en-AU"/>
        </w:rPr>
        <w:t>.</w:t>
      </w:r>
    </w:p>
    <w:p w14:paraId="0EA2580C" w14:textId="77777777" w:rsidR="00EA22A9" w:rsidRPr="00283C2B" w:rsidRDefault="00EA22A9" w:rsidP="00EA22A9">
      <w:pPr>
        <w:spacing w:after="60"/>
        <w:jc w:val="both"/>
        <w:rPr>
          <w:rFonts w:cs="Arial"/>
          <w:bCs/>
          <w:iCs/>
          <w:sz w:val="6"/>
          <w:szCs w:val="6"/>
          <w:lang w:val="en-AU" w:eastAsia="en-AU"/>
        </w:rPr>
      </w:pPr>
    </w:p>
    <w:p w14:paraId="0518755E" w14:textId="77777777" w:rsidR="00EA22A9" w:rsidRPr="00EA22A9" w:rsidRDefault="00EA22A9" w:rsidP="00EA22A9">
      <w:pPr>
        <w:spacing w:after="60"/>
        <w:jc w:val="both"/>
        <w:rPr>
          <w:rFonts w:cs="Arial"/>
          <w:b/>
          <w:bCs/>
          <w:u w:val="single"/>
          <w:lang w:val="en" w:eastAsia="en-AU"/>
        </w:rPr>
      </w:pPr>
      <w:r w:rsidRPr="00EA22A9">
        <w:rPr>
          <w:rFonts w:cs="Arial"/>
          <w:b/>
          <w:bCs/>
          <w:u w:val="single"/>
          <w:lang w:val="en" w:eastAsia="en-AU"/>
        </w:rPr>
        <w:t>Who is eligible?</w:t>
      </w:r>
    </w:p>
    <w:p w14:paraId="165B42AF" w14:textId="77777777" w:rsidR="00EA22A9" w:rsidRPr="00EA22A9" w:rsidRDefault="00EA22A9" w:rsidP="00EA22A9">
      <w:pPr>
        <w:spacing w:after="60"/>
        <w:jc w:val="both"/>
        <w:rPr>
          <w:rFonts w:cs="Arial"/>
          <w:bCs/>
          <w:lang w:val="en" w:eastAsia="en-AU"/>
        </w:rPr>
      </w:pPr>
      <w:r w:rsidRPr="00EA22A9">
        <w:rPr>
          <w:rFonts w:cs="Arial"/>
          <w:bCs/>
          <w:lang w:val="en" w:eastAsia="en-AU"/>
        </w:rPr>
        <w:t xml:space="preserve">Any person 2 months and over living in the following remote Aboriginal Communities:  </w:t>
      </w:r>
    </w:p>
    <w:p w14:paraId="4619FB81" w14:textId="77777777" w:rsidR="00EA22A9" w:rsidRPr="00D80A07" w:rsidRDefault="00EA22A9" w:rsidP="00D80A07">
      <w:pPr>
        <w:pStyle w:val="ListParagraph"/>
        <w:numPr>
          <w:ilvl w:val="0"/>
          <w:numId w:val="3"/>
        </w:numPr>
        <w:spacing w:after="60"/>
        <w:jc w:val="both"/>
        <w:rPr>
          <w:rFonts w:cs="Arial"/>
          <w:bCs/>
          <w:lang w:val="en" w:eastAsia="en-AU"/>
        </w:rPr>
      </w:pPr>
      <w:r w:rsidRPr="00D80A07">
        <w:rPr>
          <w:rFonts w:cs="Arial"/>
          <w:bCs/>
          <w:lang w:val="en" w:eastAsia="en-AU"/>
        </w:rPr>
        <w:t>Ngaanyatjarra Lands communities and Tjuntjuntjarra (Goldfields)</w:t>
      </w:r>
    </w:p>
    <w:p w14:paraId="6DD26C16" w14:textId="77777777" w:rsidR="00EA22A9" w:rsidRPr="00D80A07" w:rsidRDefault="00EA22A9" w:rsidP="00D80A07">
      <w:pPr>
        <w:pStyle w:val="ListParagraph"/>
        <w:numPr>
          <w:ilvl w:val="0"/>
          <w:numId w:val="3"/>
        </w:numPr>
        <w:spacing w:after="60"/>
        <w:jc w:val="both"/>
        <w:rPr>
          <w:rFonts w:cs="Arial"/>
          <w:bCs/>
          <w:iCs/>
          <w:lang w:val="en-AU" w:eastAsia="en-AU"/>
        </w:rPr>
      </w:pPr>
      <w:r w:rsidRPr="00D80A07">
        <w:rPr>
          <w:rFonts w:cs="Arial"/>
          <w:bCs/>
          <w:iCs/>
          <w:lang w:val="en-AU" w:eastAsia="en-AU"/>
        </w:rPr>
        <w:t xml:space="preserve">Balgo, Bililuna, Mulan and Kundat Jaru/Ringers Soak (Kimberley) </w:t>
      </w:r>
    </w:p>
    <w:p w14:paraId="3C897B3C" w14:textId="77777777" w:rsidR="00EA22A9" w:rsidRPr="00D80A07" w:rsidRDefault="00EA22A9" w:rsidP="00D80A07">
      <w:pPr>
        <w:pStyle w:val="ListParagraph"/>
        <w:numPr>
          <w:ilvl w:val="0"/>
          <w:numId w:val="3"/>
        </w:numPr>
        <w:spacing w:after="60"/>
        <w:jc w:val="both"/>
        <w:rPr>
          <w:rFonts w:cs="Arial"/>
          <w:bCs/>
          <w:lang w:val="en" w:eastAsia="en-AU"/>
        </w:rPr>
      </w:pPr>
      <w:r w:rsidRPr="00D80A07">
        <w:rPr>
          <w:rFonts w:cs="Arial"/>
          <w:bCs/>
          <w:iCs/>
          <w:lang w:val="en-AU" w:eastAsia="en-AU"/>
        </w:rPr>
        <w:t xml:space="preserve">Punmu, </w:t>
      </w:r>
      <w:r w:rsidRPr="00D80A07">
        <w:rPr>
          <w:rFonts w:cs="Arial"/>
          <w:bCs/>
          <w:lang w:val="en-AU" w:eastAsia="en-AU"/>
        </w:rPr>
        <w:t>Kunawarritji, Jigalong and Parnngurr/Cotton Creek</w:t>
      </w:r>
      <w:r w:rsidRPr="00D80A07">
        <w:rPr>
          <w:rFonts w:cs="Arial"/>
          <w:bCs/>
          <w:iCs/>
          <w:lang w:val="en-AU" w:eastAsia="en-AU"/>
        </w:rPr>
        <w:t xml:space="preserve"> (Pilbara).</w:t>
      </w:r>
    </w:p>
    <w:p w14:paraId="01496E5D" w14:textId="77777777" w:rsidR="00EA22A9" w:rsidRPr="00EA22A9" w:rsidRDefault="00EA22A9" w:rsidP="00EA22A9">
      <w:pPr>
        <w:spacing w:after="60"/>
        <w:jc w:val="both"/>
        <w:rPr>
          <w:rFonts w:cs="Arial"/>
          <w:bCs/>
          <w:lang w:val="en" w:eastAsia="en-AU"/>
        </w:rPr>
      </w:pPr>
      <w:r w:rsidRPr="00EA22A9">
        <w:rPr>
          <w:rFonts w:cs="Arial"/>
          <w:bCs/>
          <w:lang w:val="en" w:eastAsia="en-AU"/>
        </w:rPr>
        <w:t xml:space="preserve">The free vaccine will ONLY be available to residents in those communities and staff who live there.  Short-term visitors who are not living with a local family are not considered at increased risk.  </w:t>
      </w:r>
    </w:p>
    <w:p w14:paraId="791B96C9" w14:textId="77777777" w:rsidR="00EA22A9" w:rsidRPr="00283C2B" w:rsidRDefault="00EA22A9" w:rsidP="00EA22A9">
      <w:pPr>
        <w:jc w:val="both"/>
        <w:rPr>
          <w:rFonts w:cs="Arial"/>
          <w:bCs/>
          <w:sz w:val="6"/>
          <w:szCs w:val="6"/>
          <w:lang w:val="en" w:eastAsia="en-AU"/>
        </w:rPr>
      </w:pPr>
    </w:p>
    <w:p w14:paraId="32749548" w14:textId="77777777" w:rsidR="00EA22A9" w:rsidRPr="00EA22A9" w:rsidRDefault="00EA22A9" w:rsidP="00EA22A9">
      <w:pPr>
        <w:spacing w:after="60"/>
        <w:jc w:val="both"/>
        <w:rPr>
          <w:rFonts w:cs="Arial"/>
          <w:b/>
          <w:bCs/>
          <w:u w:val="single"/>
          <w:lang w:val="en" w:eastAsia="en-AU"/>
        </w:rPr>
      </w:pPr>
      <w:r w:rsidRPr="00EA22A9">
        <w:rPr>
          <w:rFonts w:cs="Arial"/>
          <w:b/>
          <w:bCs/>
          <w:u w:val="single"/>
          <w:lang w:val="en" w:eastAsia="en-AU"/>
        </w:rPr>
        <w:t>Who will implement the vaccination program?</w:t>
      </w:r>
    </w:p>
    <w:p w14:paraId="4E93C72C" w14:textId="1C804064" w:rsidR="00EA22A9" w:rsidRPr="00EA22A9" w:rsidRDefault="00EA22A9" w:rsidP="00EA22A9">
      <w:pPr>
        <w:spacing w:after="60"/>
        <w:jc w:val="both"/>
        <w:rPr>
          <w:rFonts w:cs="Arial"/>
          <w:bCs/>
          <w:lang w:val="en" w:eastAsia="en-AU"/>
        </w:rPr>
      </w:pPr>
      <w:r w:rsidRPr="00EA22A9">
        <w:rPr>
          <w:rFonts w:cs="Arial"/>
          <w:bCs/>
          <w:lang w:val="en" w:eastAsia="en-AU"/>
        </w:rPr>
        <w:t xml:space="preserve">The Regional Population Health Units in the affected areas are assisting to coordinate the local implementation of the program.  Vaccine will be provided free from the WA Department of Health.   Aboriginal Medical Services and WACHS clinics in the targeted communities will vaccinate community members. </w:t>
      </w:r>
    </w:p>
    <w:p w14:paraId="7F3308AD" w14:textId="77777777" w:rsidR="00EA22A9" w:rsidRPr="00283C2B" w:rsidRDefault="00EA22A9" w:rsidP="00EA22A9">
      <w:pPr>
        <w:spacing w:after="60"/>
        <w:jc w:val="both"/>
        <w:rPr>
          <w:rFonts w:cs="Arial"/>
          <w:bCs/>
          <w:sz w:val="6"/>
          <w:szCs w:val="6"/>
          <w:lang w:val="en" w:eastAsia="en-AU"/>
        </w:rPr>
      </w:pPr>
    </w:p>
    <w:p w14:paraId="164CBD47" w14:textId="77777777" w:rsidR="00EA22A9" w:rsidRPr="00EA22A9" w:rsidRDefault="00EA22A9" w:rsidP="00EA22A9">
      <w:pPr>
        <w:spacing w:after="60"/>
        <w:jc w:val="both"/>
        <w:rPr>
          <w:rFonts w:cs="Arial"/>
          <w:b/>
          <w:bCs/>
          <w:u w:val="single"/>
          <w:lang w:val="en" w:eastAsia="en-AU"/>
        </w:rPr>
      </w:pPr>
      <w:r w:rsidRPr="00EA22A9">
        <w:rPr>
          <w:rFonts w:cs="Arial"/>
          <w:b/>
          <w:bCs/>
          <w:u w:val="single"/>
          <w:lang w:val="en" w:eastAsia="en-AU"/>
        </w:rPr>
        <w:t>Duration of vaccination campaign</w:t>
      </w:r>
    </w:p>
    <w:p w14:paraId="1905FB8D" w14:textId="77777777" w:rsidR="00EA22A9" w:rsidRPr="00EA22A9" w:rsidRDefault="00EA22A9" w:rsidP="00EA22A9">
      <w:pPr>
        <w:spacing w:after="60"/>
        <w:jc w:val="both"/>
        <w:rPr>
          <w:rFonts w:cs="Arial"/>
          <w:bCs/>
          <w:lang w:val="en" w:eastAsia="en-AU"/>
        </w:rPr>
      </w:pPr>
      <w:r w:rsidRPr="00EA22A9">
        <w:rPr>
          <w:rFonts w:cs="Arial"/>
          <w:bCs/>
          <w:lang w:val="en" w:eastAsia="en-AU"/>
        </w:rPr>
        <w:t xml:space="preserve">The vaccination campaign will be conducted from </w:t>
      </w:r>
      <w:r w:rsidRPr="00EA22A9">
        <w:rPr>
          <w:rFonts w:cs="Arial"/>
          <w:b/>
          <w:bCs/>
          <w:lang w:val="en" w:eastAsia="en-AU"/>
        </w:rPr>
        <w:t>23 October to 17 December</w:t>
      </w:r>
      <w:r w:rsidRPr="00EA22A9">
        <w:rPr>
          <w:rFonts w:cs="Arial"/>
          <w:bCs/>
          <w:lang w:val="en" w:eastAsia="en-AU"/>
        </w:rPr>
        <w:t>, 2017.  Vaccine program delivery will vary in different areas; contact your local clinic or Population Health Unit for vaccine availability.</w:t>
      </w:r>
    </w:p>
    <w:p w14:paraId="159010E4" w14:textId="77777777" w:rsidR="00EA22A9" w:rsidRPr="00283C2B" w:rsidRDefault="00EA22A9" w:rsidP="00EA22A9">
      <w:pPr>
        <w:spacing w:after="60"/>
        <w:jc w:val="both"/>
        <w:rPr>
          <w:rFonts w:cs="Arial"/>
          <w:bCs/>
          <w:sz w:val="6"/>
          <w:szCs w:val="6"/>
          <w:lang w:val="en" w:eastAsia="en-AU"/>
        </w:rPr>
      </w:pPr>
    </w:p>
    <w:p w14:paraId="52E4A4F0" w14:textId="77777777" w:rsidR="00EA22A9" w:rsidRPr="00EA22A9" w:rsidRDefault="00EA22A9" w:rsidP="00EA22A9">
      <w:pPr>
        <w:spacing w:after="60"/>
        <w:jc w:val="both"/>
        <w:rPr>
          <w:rFonts w:cs="Arial"/>
          <w:b/>
          <w:bCs/>
          <w:u w:val="single"/>
          <w:lang w:val="en" w:eastAsia="en-AU"/>
        </w:rPr>
      </w:pPr>
      <w:r w:rsidRPr="00EA22A9">
        <w:rPr>
          <w:rFonts w:cs="Arial"/>
          <w:b/>
          <w:bCs/>
          <w:u w:val="single"/>
          <w:lang w:val="en" w:eastAsia="en-AU"/>
        </w:rPr>
        <w:t>Vaccines</w:t>
      </w:r>
    </w:p>
    <w:p w14:paraId="2898682D" w14:textId="77777777" w:rsidR="00EA22A9" w:rsidRPr="00EA22A9" w:rsidRDefault="00EA22A9" w:rsidP="00EA22A9">
      <w:pPr>
        <w:spacing w:after="60"/>
        <w:jc w:val="both"/>
        <w:rPr>
          <w:rFonts w:cs="Arial"/>
          <w:bCs/>
          <w:lang w:val="en" w:eastAsia="en-AU"/>
        </w:rPr>
      </w:pPr>
      <w:r w:rsidRPr="00EA22A9">
        <w:rPr>
          <w:rFonts w:cs="Arial"/>
          <w:bCs/>
          <w:lang w:val="en" w:eastAsia="en-AU"/>
        </w:rPr>
        <w:t xml:space="preserve">Two types of vaccine will be used for this response:  </w:t>
      </w:r>
    </w:p>
    <w:p w14:paraId="79E149C8" w14:textId="423C497A" w:rsidR="00EA22A9" w:rsidRPr="00EA22A9" w:rsidRDefault="00EA22A9" w:rsidP="00EA22A9">
      <w:pPr>
        <w:spacing w:after="60"/>
        <w:ind w:firstLine="720"/>
        <w:jc w:val="both"/>
        <w:rPr>
          <w:rFonts w:cs="Arial"/>
          <w:bCs/>
          <w:lang w:val="en" w:eastAsia="en-AU"/>
        </w:rPr>
      </w:pPr>
      <w:r w:rsidRPr="00EA22A9">
        <w:rPr>
          <w:rFonts w:cs="Arial"/>
          <w:bCs/>
          <w:lang w:val="en" w:eastAsia="en-AU"/>
        </w:rPr>
        <w:t>Menveo</w:t>
      </w:r>
      <w:r w:rsidR="00F72BB7">
        <w:rPr>
          <w:rFonts w:cs="Arial"/>
          <w:bCs/>
          <w:lang w:val="en" w:eastAsia="en-AU"/>
        </w:rPr>
        <w:t>®</w:t>
      </w:r>
      <w:r w:rsidRPr="00EA22A9">
        <w:rPr>
          <w:rFonts w:cs="Arial"/>
          <w:bCs/>
          <w:lang w:val="en" w:eastAsia="en-AU"/>
        </w:rPr>
        <w:t xml:space="preserve"> for persons </w:t>
      </w:r>
      <w:r w:rsidRPr="00EA22A9">
        <w:rPr>
          <w:rFonts w:cs="Arial"/>
          <w:bCs/>
          <w:i/>
          <w:lang w:val="en" w:eastAsia="en-AU"/>
        </w:rPr>
        <w:t>under 12 months</w:t>
      </w:r>
      <w:r w:rsidRPr="00EA22A9">
        <w:rPr>
          <w:rFonts w:cs="Arial"/>
          <w:bCs/>
          <w:lang w:val="en" w:eastAsia="en-AU"/>
        </w:rPr>
        <w:t xml:space="preserve">; </w:t>
      </w:r>
    </w:p>
    <w:p w14:paraId="52D869C7" w14:textId="4B9A3280" w:rsidR="00EA22A9" w:rsidRPr="00EA22A9" w:rsidRDefault="00A1438C" w:rsidP="00EA22A9">
      <w:pPr>
        <w:spacing w:after="60"/>
        <w:ind w:firstLine="720"/>
        <w:jc w:val="both"/>
        <w:rPr>
          <w:rFonts w:cs="Arial"/>
          <w:bCs/>
          <w:lang w:val="en" w:eastAsia="en-AU"/>
        </w:rPr>
      </w:pPr>
      <w:r w:rsidRPr="00EA22A9">
        <w:rPr>
          <w:rFonts w:cs="Arial"/>
          <w:bCs/>
          <w:lang w:val="en" w:eastAsia="en-AU"/>
        </w:rPr>
        <w:t>NIMENRIX</w:t>
      </w:r>
      <w:r>
        <w:rPr>
          <w:rFonts w:cs="Arial"/>
          <w:bCs/>
          <w:lang w:val="en" w:eastAsia="en-AU"/>
        </w:rPr>
        <w:t>®</w:t>
      </w:r>
      <w:r w:rsidR="00EA22A9" w:rsidRPr="00EA22A9">
        <w:rPr>
          <w:rFonts w:cs="Arial"/>
          <w:bCs/>
          <w:lang w:val="en" w:eastAsia="en-AU"/>
        </w:rPr>
        <w:t xml:space="preserve"> for persons 12 months and over.</w:t>
      </w:r>
    </w:p>
    <w:p w14:paraId="1D4A1A2B" w14:textId="77777777" w:rsidR="00EA22A9" w:rsidRPr="00283C2B" w:rsidRDefault="00EA22A9" w:rsidP="00EA22A9">
      <w:pPr>
        <w:spacing w:after="60"/>
        <w:jc w:val="both"/>
        <w:rPr>
          <w:rFonts w:cs="Arial"/>
          <w:b/>
          <w:bCs/>
          <w:sz w:val="6"/>
          <w:szCs w:val="6"/>
          <w:u w:val="single"/>
          <w:lang w:val="en" w:eastAsia="en-AU"/>
        </w:rPr>
      </w:pPr>
    </w:p>
    <w:p w14:paraId="782ACFC7" w14:textId="77777777" w:rsidR="00EA22A9" w:rsidRPr="00EA22A9" w:rsidRDefault="00EA22A9" w:rsidP="00EA22A9">
      <w:pPr>
        <w:spacing w:after="60"/>
        <w:jc w:val="both"/>
        <w:rPr>
          <w:rFonts w:cs="Arial"/>
          <w:b/>
          <w:bCs/>
          <w:u w:val="single"/>
          <w:lang w:val="en" w:eastAsia="en-AU"/>
        </w:rPr>
      </w:pPr>
      <w:r w:rsidRPr="00EA22A9">
        <w:rPr>
          <w:rFonts w:cs="Arial"/>
          <w:b/>
          <w:bCs/>
          <w:u w:val="single"/>
          <w:lang w:val="en" w:eastAsia="en-AU"/>
        </w:rPr>
        <w:t>Vaccine safety and efficacy</w:t>
      </w:r>
    </w:p>
    <w:p w14:paraId="3A216CB2" w14:textId="6E50D7E7" w:rsidR="00EA22A9" w:rsidRPr="00EA22A9" w:rsidRDefault="00EA22A9" w:rsidP="00EA22A9">
      <w:pPr>
        <w:spacing w:after="60"/>
        <w:jc w:val="both"/>
        <w:rPr>
          <w:rFonts w:cs="Arial"/>
          <w:bCs/>
          <w:lang w:val="en-AU" w:eastAsia="en-AU"/>
        </w:rPr>
      </w:pPr>
      <w:r w:rsidRPr="00EA22A9">
        <w:rPr>
          <w:rFonts w:cs="Arial"/>
          <w:bCs/>
          <w:lang w:val="x-none" w:eastAsia="en-AU"/>
        </w:rPr>
        <w:t xml:space="preserve">The vaccine protects against </w:t>
      </w:r>
      <w:r w:rsidRPr="00EA22A9">
        <w:rPr>
          <w:rFonts w:cs="Arial"/>
          <w:bCs/>
          <w:lang w:val="en-AU" w:eastAsia="en-AU"/>
        </w:rPr>
        <w:t xml:space="preserve">the meningococcal </w:t>
      </w:r>
      <w:r w:rsidRPr="00EA22A9">
        <w:rPr>
          <w:rFonts w:cs="Arial"/>
          <w:bCs/>
          <w:lang w:val="x-none" w:eastAsia="en-AU"/>
        </w:rPr>
        <w:t>serogroups A C W and Y.</w:t>
      </w:r>
      <w:r w:rsidRPr="00EA22A9">
        <w:rPr>
          <w:rFonts w:cs="Arial"/>
          <w:bCs/>
          <w:lang w:val="en-AU" w:eastAsia="en-AU"/>
        </w:rPr>
        <w:t xml:space="preserve">  </w:t>
      </w:r>
      <w:r w:rsidRPr="00EA22A9">
        <w:rPr>
          <w:rFonts w:cs="Arial"/>
          <w:bCs/>
          <w:lang w:val="x-none" w:eastAsia="en-AU"/>
        </w:rPr>
        <w:t xml:space="preserve">Serogroup W is the one that has been responsible for the recent cases in central Australia. </w:t>
      </w:r>
      <w:r w:rsidRPr="00EA22A9">
        <w:rPr>
          <w:rFonts w:cs="Arial"/>
          <w:b/>
          <w:bCs/>
          <w:lang w:val="x-none" w:eastAsia="en-AU"/>
        </w:rPr>
        <w:t xml:space="preserve"> </w:t>
      </w:r>
      <w:r w:rsidRPr="00EA22A9">
        <w:rPr>
          <w:rFonts w:cs="Arial"/>
          <w:bCs/>
          <w:lang w:val="x-none" w:eastAsia="en-AU"/>
        </w:rPr>
        <w:t xml:space="preserve">Clinical trials have demonstrated that the </w:t>
      </w:r>
      <w:r w:rsidRPr="00EA22A9">
        <w:rPr>
          <w:rFonts w:cs="Arial"/>
          <w:bCs/>
          <w:lang w:val="en-AU" w:eastAsia="en-AU"/>
        </w:rPr>
        <w:t>Men</w:t>
      </w:r>
      <w:r w:rsidRPr="00EA22A9">
        <w:rPr>
          <w:rFonts w:cs="Arial"/>
          <w:bCs/>
          <w:lang w:val="x-none" w:eastAsia="en-AU"/>
        </w:rPr>
        <w:t xml:space="preserve">ACWY vaccines are effective in preventing disease and </w:t>
      </w:r>
      <w:r w:rsidRPr="00EA22A9">
        <w:rPr>
          <w:rFonts w:cs="Arial"/>
          <w:bCs/>
          <w:lang w:val="en-AU" w:eastAsia="en-AU"/>
        </w:rPr>
        <w:t>reducing carriage of meningococcal bacteria</w:t>
      </w:r>
      <w:r w:rsidRPr="00EA22A9">
        <w:rPr>
          <w:rFonts w:cs="Arial"/>
          <w:bCs/>
          <w:lang w:val="x-none" w:eastAsia="en-AU"/>
        </w:rPr>
        <w:t>.</w:t>
      </w:r>
      <w:r w:rsidR="00F72BB7">
        <w:rPr>
          <w:rFonts w:cs="Arial"/>
          <w:bCs/>
          <w:lang w:val="en-AU" w:eastAsia="en-AU"/>
        </w:rPr>
        <w:t xml:space="preserve">  </w:t>
      </w:r>
      <w:r w:rsidRPr="00EA22A9">
        <w:rPr>
          <w:rFonts w:cs="Arial"/>
          <w:bCs/>
          <w:lang w:val="en-AU" w:eastAsia="en-AU"/>
        </w:rPr>
        <w:t xml:space="preserve">It takes approximately two weeks for immunity to develop after MenACWY vaccination.  </w:t>
      </w:r>
    </w:p>
    <w:p w14:paraId="39799622" w14:textId="51A9DAD7" w:rsidR="00EA22A9" w:rsidRPr="00EA22A9" w:rsidRDefault="00EA22A9" w:rsidP="00EA22A9">
      <w:pPr>
        <w:spacing w:after="60"/>
        <w:jc w:val="both"/>
        <w:rPr>
          <w:rFonts w:cs="Arial"/>
          <w:bCs/>
          <w:lang w:val="en-AU" w:eastAsia="en-AU"/>
        </w:rPr>
      </w:pPr>
      <w:r w:rsidRPr="00EA22A9">
        <w:rPr>
          <w:rFonts w:cs="Arial"/>
          <w:bCs/>
          <w:lang w:val="en" w:eastAsia="en-AU"/>
        </w:rPr>
        <w:t xml:space="preserve">Both vaccines are generally safe and well tolerated.  </w:t>
      </w:r>
      <w:r w:rsidRPr="00EA22A9">
        <w:rPr>
          <w:rFonts w:cs="Arial"/>
          <w:bCs/>
          <w:lang w:val="en-AU" w:eastAsia="en-AU"/>
        </w:rPr>
        <w:t xml:space="preserve">MenACWY vaccines can be given on the same day as other childhood vaccines, with the exception of </w:t>
      </w:r>
      <w:proofErr w:type="spellStart"/>
      <w:r w:rsidRPr="00EA22A9">
        <w:rPr>
          <w:rFonts w:cs="Arial"/>
          <w:bCs/>
          <w:lang w:val="en-AU" w:eastAsia="en-AU"/>
        </w:rPr>
        <w:t>Men</w:t>
      </w:r>
      <w:r w:rsidR="00F72BB7">
        <w:rPr>
          <w:rFonts w:cs="Arial"/>
          <w:bCs/>
          <w:lang w:val="en-AU" w:eastAsia="en-AU"/>
        </w:rPr>
        <w:t>i</w:t>
      </w:r>
      <w:r w:rsidRPr="00EA22A9">
        <w:rPr>
          <w:rFonts w:cs="Arial"/>
          <w:bCs/>
          <w:lang w:val="en-AU" w:eastAsia="en-AU"/>
        </w:rPr>
        <w:t>torix</w:t>
      </w:r>
      <w:proofErr w:type="spellEnd"/>
      <w:r w:rsidR="00A1438C">
        <w:rPr>
          <w:rFonts w:cs="Arial"/>
          <w:bCs/>
          <w:lang w:val="en-AU" w:eastAsia="en-AU"/>
        </w:rPr>
        <w:t>®</w:t>
      </w:r>
      <w:r w:rsidRPr="00EA22A9">
        <w:rPr>
          <w:rFonts w:cs="Arial"/>
          <w:bCs/>
          <w:lang w:val="en-AU" w:eastAsia="en-AU"/>
        </w:rPr>
        <w:t xml:space="preserve"> vaccine (leave a 4 week gap).  If other vaccines have been given recently, a two week gap should be waiting before giving MenACWY vaccine.  </w:t>
      </w:r>
    </w:p>
    <w:p w14:paraId="08816D6C" w14:textId="35BB4D9A" w:rsidR="00EA22A9" w:rsidRPr="00EA22A9" w:rsidRDefault="00EA22A9" w:rsidP="00EA22A9">
      <w:pPr>
        <w:spacing w:after="60"/>
        <w:jc w:val="both"/>
        <w:rPr>
          <w:rFonts w:cs="Arial"/>
          <w:bCs/>
          <w:i/>
          <w:u w:val="single"/>
          <w:lang w:val="en" w:eastAsia="en-AU"/>
        </w:rPr>
      </w:pPr>
      <w:r w:rsidRPr="00EA22A9">
        <w:rPr>
          <w:rFonts w:cs="Arial"/>
          <w:bCs/>
          <w:lang w:val="en-AU" w:eastAsia="en-AU"/>
        </w:rPr>
        <w:t>Vaccines should be given in accordance with manufacturer’s instructions</w:t>
      </w:r>
      <w:r w:rsidRPr="00EA22A9">
        <w:rPr>
          <w:rFonts w:cs="Arial"/>
          <w:bCs/>
          <w:i/>
          <w:lang w:val="en-AU" w:eastAsia="en-AU"/>
        </w:rPr>
        <w:t xml:space="preserve">.  </w:t>
      </w:r>
      <w:r w:rsidR="00A1438C" w:rsidRPr="00EA22A9">
        <w:rPr>
          <w:rFonts w:cs="Arial"/>
          <w:bCs/>
          <w:i/>
          <w:lang w:val="en-AU" w:eastAsia="en-AU"/>
        </w:rPr>
        <w:t>NIMENRIX</w:t>
      </w:r>
      <w:r w:rsidR="00A1438C">
        <w:rPr>
          <w:rFonts w:cs="Arial"/>
          <w:bCs/>
          <w:i/>
          <w:lang w:val="en-AU" w:eastAsia="en-AU"/>
        </w:rPr>
        <w:t xml:space="preserve"> </w:t>
      </w:r>
      <w:r w:rsidRPr="00EA22A9">
        <w:rPr>
          <w:rFonts w:cs="Arial"/>
          <w:bCs/>
          <w:i/>
          <w:lang w:val="en-AU" w:eastAsia="en-AU"/>
        </w:rPr>
        <w:t xml:space="preserve">should be drawn up using a </w:t>
      </w:r>
      <w:r w:rsidRPr="00EA22A9">
        <w:rPr>
          <w:rFonts w:cs="Arial"/>
          <w:b/>
          <w:bCs/>
          <w:i/>
          <w:lang w:val="en-AU" w:eastAsia="en-AU"/>
        </w:rPr>
        <w:t>23g needle</w:t>
      </w:r>
      <w:r w:rsidRPr="00EA22A9">
        <w:rPr>
          <w:rFonts w:cs="Arial"/>
          <w:bCs/>
          <w:i/>
          <w:lang w:val="en-AU" w:eastAsia="en-AU"/>
        </w:rPr>
        <w:t xml:space="preserve"> (not a blunt drawing up needle).  </w:t>
      </w:r>
    </w:p>
    <w:p w14:paraId="684F7E41" w14:textId="77777777" w:rsidR="00EA22A9" w:rsidRPr="00EA22A9" w:rsidRDefault="00EA22A9" w:rsidP="00EA22A9">
      <w:pPr>
        <w:spacing w:after="60"/>
        <w:jc w:val="both"/>
        <w:rPr>
          <w:rFonts w:cs="Arial"/>
          <w:b/>
          <w:bCs/>
          <w:u w:val="single"/>
          <w:lang w:val="en" w:eastAsia="en-AU"/>
        </w:rPr>
      </w:pPr>
    </w:p>
    <w:p w14:paraId="68B774B8" w14:textId="77777777" w:rsidR="00EA22A9" w:rsidRPr="00EA22A9" w:rsidRDefault="00EA22A9" w:rsidP="00EA22A9">
      <w:pPr>
        <w:spacing w:after="60"/>
        <w:jc w:val="both"/>
        <w:rPr>
          <w:rFonts w:cs="Arial"/>
          <w:b/>
          <w:bCs/>
          <w:u w:val="single"/>
          <w:lang w:val="en" w:eastAsia="en-AU"/>
        </w:rPr>
      </w:pPr>
      <w:r w:rsidRPr="00EA22A9">
        <w:rPr>
          <w:rFonts w:cs="Arial"/>
          <w:b/>
          <w:bCs/>
          <w:u w:val="single"/>
          <w:lang w:val="en" w:eastAsia="en-AU"/>
        </w:rPr>
        <w:t>Adverse Events Following Immunisation</w:t>
      </w:r>
    </w:p>
    <w:p w14:paraId="6105A702" w14:textId="77777777" w:rsidR="00EA22A9" w:rsidRPr="00EA22A9" w:rsidRDefault="00EA22A9" w:rsidP="00EA22A9">
      <w:pPr>
        <w:autoSpaceDE w:val="0"/>
        <w:autoSpaceDN w:val="0"/>
        <w:adjustRightInd w:val="0"/>
        <w:spacing w:line="276" w:lineRule="auto"/>
        <w:jc w:val="both"/>
        <w:rPr>
          <w:rFonts w:cs="Arial"/>
          <w:lang w:val="en-AU"/>
        </w:rPr>
      </w:pPr>
      <w:r w:rsidRPr="00EA22A9">
        <w:rPr>
          <w:rFonts w:cs="Arial"/>
          <w:lang w:val="en-AU"/>
        </w:rPr>
        <w:t>Any serious or unexpected adverse event (reaction) following vaccination (AEFI) should be reported to the Department of Health by:</w:t>
      </w:r>
    </w:p>
    <w:p w14:paraId="30E4F4B5" w14:textId="77777777" w:rsidR="00EA22A9" w:rsidRPr="00EA22A9" w:rsidRDefault="00EA22A9" w:rsidP="00EA22A9">
      <w:pPr>
        <w:numPr>
          <w:ilvl w:val="0"/>
          <w:numId w:val="1"/>
        </w:numPr>
        <w:autoSpaceDE w:val="0"/>
        <w:autoSpaceDN w:val="0"/>
        <w:adjustRightInd w:val="0"/>
        <w:spacing w:line="276" w:lineRule="auto"/>
        <w:jc w:val="both"/>
        <w:rPr>
          <w:rFonts w:cs="Arial"/>
          <w:lang w:val="en-AU"/>
        </w:rPr>
      </w:pPr>
      <w:r w:rsidRPr="00EA22A9">
        <w:rPr>
          <w:rFonts w:cs="Arial"/>
          <w:lang w:val="en-AU"/>
        </w:rPr>
        <w:t xml:space="preserve">using the Western Australian Vaccination Safety Surveillance (WAVSS) system at </w:t>
      </w:r>
      <w:hyperlink r:id="rId9" w:history="1">
        <w:r w:rsidRPr="00EA22A9">
          <w:rPr>
            <w:rStyle w:val="Hyperlink"/>
            <w:rFonts w:cs="Arial"/>
            <w:color w:val="auto"/>
            <w:lang w:val="en-AU"/>
          </w:rPr>
          <w:t>wavss.health.wa.gov.au</w:t>
        </w:r>
      </w:hyperlink>
      <w:r w:rsidRPr="00EA22A9">
        <w:rPr>
          <w:rFonts w:cs="Arial"/>
          <w:lang w:val="en-AU"/>
        </w:rPr>
        <w:t xml:space="preserve"> (24 hours a day, 7 days a week)</w:t>
      </w:r>
    </w:p>
    <w:p w14:paraId="5A8C9CB1" w14:textId="191139D2" w:rsidR="00EA22A9" w:rsidRPr="00EA22A9" w:rsidRDefault="00EA22A9" w:rsidP="00EA22A9">
      <w:pPr>
        <w:numPr>
          <w:ilvl w:val="0"/>
          <w:numId w:val="2"/>
        </w:numPr>
        <w:contextualSpacing/>
        <w:jc w:val="both"/>
        <w:rPr>
          <w:rFonts w:cs="Arial"/>
          <w:lang w:val="en-AU"/>
        </w:rPr>
      </w:pPr>
      <w:proofErr w:type="gramStart"/>
      <w:r w:rsidRPr="00EA22A9">
        <w:rPr>
          <w:rFonts w:cs="Arial"/>
          <w:lang w:val="en-AU"/>
        </w:rPr>
        <w:t>contacting</w:t>
      </w:r>
      <w:proofErr w:type="gramEnd"/>
      <w:r w:rsidRPr="00EA22A9">
        <w:rPr>
          <w:rFonts w:cs="Arial"/>
          <w:lang w:val="en-AU"/>
        </w:rPr>
        <w:t xml:space="preserve"> the Central Immunisation Clinic 9321 1312 (8:30am – 4:30pm).</w:t>
      </w:r>
    </w:p>
    <w:p w14:paraId="5F642371" w14:textId="77777777" w:rsidR="00EA22A9" w:rsidRPr="00283C2B" w:rsidRDefault="00EA22A9" w:rsidP="00EA22A9">
      <w:pPr>
        <w:jc w:val="both"/>
        <w:rPr>
          <w:rFonts w:cs="Arial"/>
          <w:sz w:val="6"/>
          <w:szCs w:val="6"/>
          <w:lang w:val="en-AU"/>
        </w:rPr>
      </w:pPr>
    </w:p>
    <w:p w14:paraId="1FB08A88" w14:textId="77777777" w:rsidR="00EA22A9" w:rsidRPr="00EA22A9" w:rsidRDefault="00EA22A9" w:rsidP="00EA22A9">
      <w:pPr>
        <w:spacing w:after="60"/>
        <w:jc w:val="both"/>
        <w:rPr>
          <w:rFonts w:cs="Arial"/>
          <w:b/>
          <w:bCs/>
          <w:u w:val="single"/>
          <w:lang w:val="en" w:eastAsia="en-AU"/>
        </w:rPr>
      </w:pPr>
      <w:r w:rsidRPr="00EA22A9">
        <w:rPr>
          <w:rFonts w:cs="Arial"/>
          <w:b/>
          <w:bCs/>
          <w:u w:val="single"/>
          <w:lang w:val="en" w:eastAsia="en-AU"/>
        </w:rPr>
        <w:t>Subsequent doses for babies</w:t>
      </w:r>
    </w:p>
    <w:p w14:paraId="52BF4D23" w14:textId="77777777" w:rsidR="00EA22A9" w:rsidRPr="00EA22A9" w:rsidRDefault="00EA22A9" w:rsidP="00EA22A9">
      <w:pPr>
        <w:jc w:val="both"/>
        <w:rPr>
          <w:rFonts w:cs="Arial"/>
          <w:bCs/>
          <w:lang w:val="en" w:eastAsia="en-AU"/>
        </w:rPr>
      </w:pPr>
      <w:r w:rsidRPr="00EA22A9">
        <w:rPr>
          <w:rFonts w:cs="Arial"/>
          <w:bCs/>
        </w:rPr>
        <w:t xml:space="preserve">Babies from 2 months to 6 months of age require a course of four vaccinations, the final dose being given between 12-18 months.  Babies from 7-11 months will require a two dose course of the vaccine with no booster. </w:t>
      </w:r>
      <w:r w:rsidRPr="00EA22A9">
        <w:rPr>
          <w:rFonts w:cs="Arial"/>
          <w:bCs/>
          <w:lang w:val="en" w:eastAsia="en-AU"/>
        </w:rPr>
        <w:t>Vaccine for subsequent doses will be provided for children who commence their primary schedule as part of this program.  Recalls will be set up through existing systems in local clinics.</w:t>
      </w:r>
      <w:r w:rsidRPr="00EA22A9">
        <w:rPr>
          <w:rFonts w:cs="Arial"/>
        </w:rPr>
        <w:t xml:space="preserve"> </w:t>
      </w:r>
    </w:p>
    <w:p w14:paraId="0FFF075E" w14:textId="77777777" w:rsidR="00EA22A9" w:rsidRPr="00283C2B" w:rsidRDefault="00EA22A9" w:rsidP="00EA22A9">
      <w:pPr>
        <w:spacing w:after="60"/>
        <w:jc w:val="both"/>
        <w:rPr>
          <w:rFonts w:cs="Arial"/>
          <w:b/>
          <w:bCs/>
          <w:sz w:val="6"/>
          <w:szCs w:val="6"/>
          <w:u w:val="single"/>
          <w:lang w:val="en" w:eastAsia="en-AU"/>
        </w:rPr>
      </w:pPr>
    </w:p>
    <w:p w14:paraId="45CA57D9" w14:textId="14D12A8E" w:rsidR="00EA22A9" w:rsidRPr="00EA22A9" w:rsidRDefault="00EA22A9" w:rsidP="00EA22A9">
      <w:pPr>
        <w:spacing w:after="60"/>
        <w:jc w:val="both"/>
        <w:rPr>
          <w:rFonts w:cs="Arial"/>
          <w:b/>
          <w:bCs/>
          <w:u w:val="single"/>
          <w:lang w:val="en" w:eastAsia="en-AU"/>
        </w:rPr>
      </w:pPr>
      <w:r w:rsidRPr="00EA22A9">
        <w:rPr>
          <w:rFonts w:cs="Arial"/>
          <w:b/>
          <w:bCs/>
          <w:u w:val="single"/>
          <w:lang w:val="en" w:eastAsia="en-AU"/>
        </w:rPr>
        <w:t>Use in preg</w:t>
      </w:r>
      <w:r w:rsidR="00A1438C">
        <w:rPr>
          <w:rFonts w:cs="Arial"/>
          <w:b/>
          <w:bCs/>
          <w:u w:val="single"/>
          <w:lang w:val="en" w:eastAsia="en-AU"/>
        </w:rPr>
        <w:t>n</w:t>
      </w:r>
      <w:r w:rsidRPr="00EA22A9">
        <w:rPr>
          <w:rFonts w:cs="Arial"/>
          <w:b/>
          <w:bCs/>
          <w:u w:val="single"/>
          <w:lang w:val="en" w:eastAsia="en-AU"/>
        </w:rPr>
        <w:t>ancy</w:t>
      </w:r>
    </w:p>
    <w:p w14:paraId="7E98EA3B" w14:textId="6D9CE61C" w:rsidR="00EA22A9" w:rsidRPr="00EA22A9" w:rsidRDefault="00EA22A9" w:rsidP="00EA22A9">
      <w:pPr>
        <w:spacing w:after="60"/>
        <w:jc w:val="both"/>
        <w:rPr>
          <w:rFonts w:cs="Arial"/>
          <w:bCs/>
          <w:lang w:val="en-AU" w:eastAsia="en-AU"/>
        </w:rPr>
      </w:pPr>
      <w:r w:rsidRPr="00EA22A9">
        <w:rPr>
          <w:rFonts w:cs="Arial"/>
          <w:bCs/>
          <w:lang w:val="en-AU" w:eastAsia="en-AU"/>
        </w:rPr>
        <w:t>There is limited experience using MenACWY vaccines in pregnant women. Studies in animals with NIMENRIX brand MenACWY vaccine do not indicate direct or indirect harmful effects with respect to pregnancy, embryo/foetal development, parturition or post-natal development. Still, MenACWY vaccines should be used during pregnancy only when clearly needed, i.e. if the patient is thought to be at increased risk of meningococcal disease, such as living in the communities that are part of the Targeted Regional WA MenW Outbreak Response, and the possible advantages outweigh the potential risks for the foetus.</w:t>
      </w:r>
    </w:p>
    <w:p w14:paraId="4B5EE7CC" w14:textId="77777777" w:rsidR="00EA22A9" w:rsidRPr="00283C2B" w:rsidRDefault="00EA22A9" w:rsidP="00EA22A9">
      <w:pPr>
        <w:spacing w:after="60"/>
        <w:jc w:val="both"/>
        <w:rPr>
          <w:rFonts w:cs="Arial"/>
          <w:b/>
          <w:bCs/>
          <w:sz w:val="6"/>
          <w:szCs w:val="6"/>
          <w:u w:val="single"/>
          <w:lang w:val="en" w:eastAsia="en-AU"/>
        </w:rPr>
      </w:pPr>
    </w:p>
    <w:p w14:paraId="12EF5B72" w14:textId="77777777" w:rsidR="00EA22A9" w:rsidRPr="00EA22A9" w:rsidRDefault="00EA22A9" w:rsidP="00EA22A9">
      <w:pPr>
        <w:spacing w:after="60"/>
        <w:jc w:val="both"/>
        <w:rPr>
          <w:rFonts w:cs="Arial"/>
          <w:b/>
          <w:bCs/>
          <w:u w:val="single"/>
          <w:lang w:val="en" w:eastAsia="en-AU"/>
        </w:rPr>
      </w:pPr>
      <w:r w:rsidRPr="00EA22A9">
        <w:rPr>
          <w:rFonts w:cs="Arial"/>
          <w:b/>
          <w:bCs/>
          <w:u w:val="single"/>
          <w:lang w:val="en" w:eastAsia="en-AU"/>
        </w:rPr>
        <w:t>Use in Breastfeeding</w:t>
      </w:r>
    </w:p>
    <w:p w14:paraId="0393F232" w14:textId="6B7AB662" w:rsidR="00EA22A9" w:rsidRPr="00EA22A9" w:rsidRDefault="00D80A07" w:rsidP="00EA22A9">
      <w:pPr>
        <w:spacing w:after="60"/>
        <w:jc w:val="both"/>
        <w:rPr>
          <w:rFonts w:cs="Arial"/>
          <w:bCs/>
          <w:lang w:eastAsia="en-AU"/>
        </w:rPr>
      </w:pPr>
      <w:r>
        <w:rPr>
          <w:rFonts w:cs="Arial"/>
          <w:bCs/>
          <w:lang w:eastAsia="en-AU"/>
        </w:rPr>
        <w:t>Breast</w:t>
      </w:r>
      <w:r w:rsidR="00EA22A9" w:rsidRPr="00EA22A9">
        <w:rPr>
          <w:rFonts w:cs="Arial"/>
          <w:bCs/>
          <w:lang w:eastAsia="en-AU"/>
        </w:rPr>
        <w:t>feeding women can be offered the vaccination.</w:t>
      </w:r>
    </w:p>
    <w:p w14:paraId="5DBF0A1B" w14:textId="77777777" w:rsidR="00EA22A9" w:rsidRPr="00283C2B" w:rsidRDefault="00EA22A9" w:rsidP="00EA22A9">
      <w:pPr>
        <w:spacing w:after="60"/>
        <w:jc w:val="both"/>
        <w:rPr>
          <w:rFonts w:cs="Arial"/>
          <w:b/>
          <w:bCs/>
          <w:sz w:val="6"/>
          <w:szCs w:val="6"/>
          <w:u w:val="single"/>
          <w:lang w:val="en" w:eastAsia="en-AU"/>
        </w:rPr>
      </w:pPr>
    </w:p>
    <w:p w14:paraId="04F39284" w14:textId="77777777" w:rsidR="00EA22A9" w:rsidRPr="00EA22A9" w:rsidRDefault="00EA22A9" w:rsidP="00EA22A9">
      <w:pPr>
        <w:spacing w:after="60"/>
        <w:jc w:val="both"/>
        <w:rPr>
          <w:rFonts w:cs="Arial"/>
          <w:b/>
          <w:bCs/>
          <w:u w:val="single"/>
          <w:lang w:val="en" w:eastAsia="en-AU"/>
        </w:rPr>
      </w:pPr>
      <w:r w:rsidRPr="00EA22A9">
        <w:rPr>
          <w:rFonts w:cs="Arial"/>
          <w:b/>
          <w:bCs/>
          <w:u w:val="single"/>
          <w:lang w:val="en" w:eastAsia="en-AU"/>
        </w:rPr>
        <w:t>Information for clinicians regarding meningococcal disease</w:t>
      </w:r>
    </w:p>
    <w:p w14:paraId="0F488A3A" w14:textId="01239F59" w:rsidR="00EA22A9" w:rsidRPr="00EA22A9" w:rsidRDefault="00EA22A9" w:rsidP="00EA22A9">
      <w:pPr>
        <w:jc w:val="both"/>
        <w:rPr>
          <w:rFonts w:cs="Arial"/>
          <w:lang w:val="en-AU"/>
        </w:rPr>
      </w:pPr>
      <w:r w:rsidRPr="00EA22A9">
        <w:rPr>
          <w:rFonts w:cs="Arial"/>
        </w:rPr>
        <w:t>Typical symptoms for meningococcal infection are those of septicemia and/or meningitis</w:t>
      </w:r>
      <w:r w:rsidRPr="00EA22A9">
        <w:rPr>
          <w:rFonts w:cs="Arial"/>
          <w:lang w:val="en-AU"/>
        </w:rPr>
        <w:t xml:space="preserve">.  Babies and young children may experience irritability, have difficulty waking, bulging fontanelle, rapid or laboured breathing, refusal to walk/limping, a high pitched cry or decreased oral intake.  </w:t>
      </w:r>
      <w:r w:rsidRPr="00EA22A9">
        <w:rPr>
          <w:rFonts w:cs="Arial"/>
          <w:b/>
          <w:lang w:val="en-AU"/>
        </w:rPr>
        <w:t>Please be aware that the W strain can have atypical presentations</w:t>
      </w:r>
      <w:r w:rsidRPr="00EA22A9">
        <w:rPr>
          <w:rFonts w:cs="Arial"/>
          <w:lang w:val="en-AU"/>
        </w:rPr>
        <w:t>, such as epiglottitis/pharyngitis, septic arthritis, conjunctivitis or pneumonia.  These can present alone (~20%</w:t>
      </w:r>
      <w:r w:rsidR="00F72BB7">
        <w:rPr>
          <w:rFonts w:cs="Arial"/>
          <w:lang w:val="en-AU"/>
        </w:rPr>
        <w:t>)</w:t>
      </w:r>
      <w:r w:rsidRPr="00EA22A9">
        <w:rPr>
          <w:rFonts w:cs="Arial"/>
          <w:lang w:val="en-AU"/>
        </w:rPr>
        <w:t xml:space="preserve"> or in combination with usual findings.</w:t>
      </w:r>
    </w:p>
    <w:p w14:paraId="6CEB965A" w14:textId="77777777" w:rsidR="00EA22A9" w:rsidRPr="00283C2B" w:rsidRDefault="00EA22A9" w:rsidP="00EA22A9">
      <w:pPr>
        <w:jc w:val="both"/>
        <w:rPr>
          <w:rFonts w:cs="Arial"/>
          <w:sz w:val="12"/>
          <w:szCs w:val="12"/>
          <w:lang w:val="en-AU"/>
        </w:rPr>
      </w:pPr>
    </w:p>
    <w:p w14:paraId="24F3FF3F" w14:textId="77777777" w:rsidR="00EA22A9" w:rsidRPr="00EA22A9" w:rsidRDefault="00EA22A9" w:rsidP="00EA22A9">
      <w:pPr>
        <w:jc w:val="both"/>
        <w:rPr>
          <w:rFonts w:cs="Arial"/>
          <w:lang w:val="en-AU"/>
        </w:rPr>
      </w:pPr>
      <w:r w:rsidRPr="00EA22A9">
        <w:rPr>
          <w:rFonts w:cs="Arial"/>
          <w:lang w:val="en-AU"/>
        </w:rPr>
        <w:t xml:space="preserve">Suspected cases should have bloods taken for culture and whole blood EDTA for </w:t>
      </w:r>
      <w:r w:rsidRPr="00EA22A9">
        <w:rPr>
          <w:rFonts w:cs="Arial"/>
          <w:i/>
          <w:lang w:val="en-AU"/>
        </w:rPr>
        <w:t>meningococcal PCR</w:t>
      </w:r>
      <w:r w:rsidRPr="00EA22A9">
        <w:rPr>
          <w:rFonts w:cs="Arial"/>
          <w:lang w:val="en-AU"/>
        </w:rPr>
        <w:t xml:space="preserve">, and treatment with Ceftriaxone.  National guidelines relating to management of IMD cases can be found by clicking on this </w:t>
      </w:r>
      <w:hyperlink r:id="rId10" w:history="1">
        <w:r w:rsidRPr="00EA22A9">
          <w:rPr>
            <w:rStyle w:val="Hyperlink"/>
            <w:rFonts w:cs="Arial"/>
            <w:color w:val="auto"/>
            <w:lang w:val="en-AU"/>
          </w:rPr>
          <w:t>link</w:t>
        </w:r>
      </w:hyperlink>
      <w:r w:rsidRPr="00EA22A9">
        <w:rPr>
          <w:rFonts w:cs="Arial"/>
          <w:lang w:val="en-AU"/>
        </w:rPr>
        <w:t xml:space="preserve">. </w:t>
      </w:r>
    </w:p>
    <w:p w14:paraId="3F93D3CD" w14:textId="77777777" w:rsidR="00EA22A9" w:rsidRPr="00283C2B" w:rsidRDefault="00EA22A9" w:rsidP="00EA22A9">
      <w:pPr>
        <w:spacing w:after="60"/>
        <w:jc w:val="both"/>
        <w:rPr>
          <w:rFonts w:cs="Arial"/>
          <w:b/>
          <w:bCs/>
          <w:sz w:val="6"/>
          <w:szCs w:val="6"/>
          <w:u w:val="single"/>
          <w:lang w:val="en" w:eastAsia="en-AU"/>
        </w:rPr>
      </w:pPr>
    </w:p>
    <w:p w14:paraId="253136FE" w14:textId="77777777" w:rsidR="00EA22A9" w:rsidRPr="00EA22A9" w:rsidRDefault="00EA22A9" w:rsidP="00EA22A9">
      <w:pPr>
        <w:spacing w:after="60"/>
        <w:jc w:val="both"/>
        <w:rPr>
          <w:rFonts w:cs="Arial"/>
          <w:b/>
          <w:bCs/>
          <w:u w:val="single"/>
          <w:lang w:val="en" w:eastAsia="en-AU"/>
        </w:rPr>
      </w:pPr>
      <w:r w:rsidRPr="00EA22A9">
        <w:rPr>
          <w:rFonts w:cs="Arial"/>
          <w:b/>
          <w:bCs/>
          <w:u w:val="single"/>
          <w:lang w:val="en" w:eastAsia="en-AU"/>
        </w:rPr>
        <w:t>Information for the public regarding meningococcal disease and this campaign</w:t>
      </w:r>
    </w:p>
    <w:p w14:paraId="6C1767BE" w14:textId="77777777" w:rsidR="00EA22A9" w:rsidRPr="00EA22A9" w:rsidRDefault="00EA22A9" w:rsidP="00EA22A9">
      <w:pPr>
        <w:spacing w:after="60"/>
        <w:jc w:val="both"/>
        <w:rPr>
          <w:rFonts w:cs="Arial"/>
          <w:bCs/>
          <w:lang w:val="en" w:eastAsia="en-AU"/>
        </w:rPr>
      </w:pPr>
      <w:r w:rsidRPr="00EA22A9">
        <w:rPr>
          <w:rFonts w:cs="Arial"/>
          <w:bCs/>
          <w:lang w:val="en" w:eastAsia="en-AU"/>
        </w:rPr>
        <w:t xml:space="preserve">A fact sheet is available for members of the general public regarding meningococcal disease; information can be found on the </w:t>
      </w:r>
      <w:hyperlink r:id="rId11" w:history="1">
        <w:r w:rsidRPr="00EA22A9">
          <w:rPr>
            <w:rStyle w:val="Hyperlink"/>
            <w:rFonts w:cs="Arial"/>
            <w:bCs/>
            <w:color w:val="auto"/>
            <w:lang w:val="en" w:eastAsia="en-AU"/>
          </w:rPr>
          <w:t>HealthyWA website</w:t>
        </w:r>
      </w:hyperlink>
      <w:r w:rsidRPr="00EA22A9">
        <w:rPr>
          <w:rFonts w:cs="Arial"/>
          <w:bCs/>
          <w:lang w:val="en" w:eastAsia="en-AU"/>
        </w:rPr>
        <w:t xml:space="preserve"> or by clicking on this </w:t>
      </w:r>
      <w:hyperlink r:id="rId12" w:history="1">
        <w:r w:rsidRPr="00EA22A9">
          <w:rPr>
            <w:rStyle w:val="Hyperlink"/>
            <w:rFonts w:cs="Arial"/>
            <w:bCs/>
            <w:color w:val="auto"/>
            <w:lang w:val="en" w:eastAsia="en-AU"/>
          </w:rPr>
          <w:t>link</w:t>
        </w:r>
      </w:hyperlink>
      <w:r w:rsidRPr="00EA22A9">
        <w:rPr>
          <w:rFonts w:cs="Arial"/>
          <w:bCs/>
          <w:lang w:val="en" w:eastAsia="en-AU"/>
        </w:rPr>
        <w:t xml:space="preserve"> for the factsheet.  </w:t>
      </w:r>
    </w:p>
    <w:p w14:paraId="58F3CA13" w14:textId="77777777" w:rsidR="00EA22A9" w:rsidRPr="00283C2B" w:rsidRDefault="00EA22A9" w:rsidP="00EA22A9">
      <w:pPr>
        <w:spacing w:after="60"/>
        <w:jc w:val="both"/>
        <w:rPr>
          <w:rFonts w:cs="Arial"/>
          <w:b/>
          <w:bCs/>
          <w:sz w:val="6"/>
          <w:szCs w:val="6"/>
          <w:u w:val="single"/>
          <w:lang w:val="en" w:eastAsia="en-AU"/>
        </w:rPr>
      </w:pPr>
    </w:p>
    <w:p w14:paraId="1B9C2407" w14:textId="77777777" w:rsidR="00EA22A9" w:rsidRPr="00EA22A9" w:rsidRDefault="00EA22A9" w:rsidP="00EA22A9">
      <w:pPr>
        <w:spacing w:after="60"/>
        <w:jc w:val="both"/>
        <w:rPr>
          <w:rFonts w:cs="Arial"/>
          <w:bCs/>
          <w:lang w:val="en-AU" w:eastAsia="en-AU"/>
        </w:rPr>
      </w:pPr>
      <w:r w:rsidRPr="00EA22A9">
        <w:rPr>
          <w:rFonts w:cs="Arial"/>
          <w:b/>
          <w:bCs/>
          <w:u w:val="single"/>
          <w:lang w:val="en" w:eastAsia="en-AU"/>
        </w:rPr>
        <w:t>Further Information</w:t>
      </w:r>
      <w:r w:rsidRPr="00EA22A9">
        <w:rPr>
          <w:rFonts w:cs="Arial"/>
          <w:bCs/>
          <w:lang w:val="en-AU" w:eastAsia="en-AU"/>
        </w:rPr>
        <w:t xml:space="preserve"> </w:t>
      </w:r>
    </w:p>
    <w:p w14:paraId="59148CE7" w14:textId="046E5DCD" w:rsidR="00F72BB7" w:rsidRPr="00EA22A9" w:rsidRDefault="00EA22A9" w:rsidP="00EA22A9">
      <w:pPr>
        <w:spacing w:after="60"/>
        <w:jc w:val="both"/>
        <w:rPr>
          <w:rFonts w:cs="Arial"/>
          <w:bCs/>
          <w:lang w:val="en-AU" w:eastAsia="en-AU"/>
        </w:rPr>
      </w:pPr>
      <w:r w:rsidRPr="00EA22A9">
        <w:rPr>
          <w:rFonts w:cs="Arial"/>
          <w:bCs/>
          <w:lang w:val="en-AU" w:eastAsia="en-AU"/>
        </w:rPr>
        <w:t xml:space="preserve">Further information about this campaign can be found on the HealthyWA website:  </w:t>
      </w:r>
    </w:p>
    <w:p w14:paraId="71D7FCAC" w14:textId="74D2E127" w:rsidR="00EA22A9" w:rsidRDefault="0054197C" w:rsidP="00F72BB7">
      <w:pPr>
        <w:spacing w:after="60"/>
        <w:ind w:firstLine="720"/>
        <w:jc w:val="both"/>
        <w:rPr>
          <w:rFonts w:cs="Arial"/>
          <w:bCs/>
          <w:lang w:val="en-AU" w:eastAsia="en-AU"/>
        </w:rPr>
      </w:pPr>
      <w:hyperlink r:id="rId13" w:history="1">
        <w:r w:rsidR="00F72BB7" w:rsidRPr="000E1482">
          <w:rPr>
            <w:rStyle w:val="Hyperlink"/>
            <w:rFonts w:cs="Arial"/>
            <w:bCs/>
            <w:lang w:val="en-AU" w:eastAsia="en-AU"/>
          </w:rPr>
          <w:t>http://healthywa.wa.gov.au/Articles/J_M/Meningococcal-disease</w:t>
        </w:r>
      </w:hyperlink>
    </w:p>
    <w:p w14:paraId="41171861" w14:textId="77777777" w:rsidR="00F72BB7" w:rsidRPr="00283C2B" w:rsidRDefault="00F72BB7" w:rsidP="00EA22A9">
      <w:pPr>
        <w:spacing w:after="60"/>
        <w:jc w:val="both"/>
        <w:rPr>
          <w:rFonts w:cs="Arial"/>
          <w:bCs/>
          <w:sz w:val="12"/>
          <w:szCs w:val="12"/>
          <w:lang w:val="en" w:eastAsia="en-AU"/>
        </w:rPr>
      </w:pPr>
    </w:p>
    <w:p w14:paraId="06054F18" w14:textId="1D7ED58C" w:rsidR="00EA22A9" w:rsidRPr="00EA22A9" w:rsidRDefault="00EA22A9" w:rsidP="00EA22A9">
      <w:pPr>
        <w:spacing w:after="60"/>
        <w:jc w:val="both"/>
        <w:rPr>
          <w:rFonts w:cs="Arial"/>
          <w:bCs/>
          <w:lang w:val="en" w:eastAsia="en-AU"/>
        </w:rPr>
      </w:pPr>
      <w:r w:rsidRPr="00EA22A9">
        <w:rPr>
          <w:rFonts w:cs="Arial"/>
          <w:bCs/>
          <w:lang w:val="en" w:eastAsia="en-AU"/>
        </w:rPr>
        <w:t>Further information can be obtained by contacting your regional Public Health Team</w:t>
      </w:r>
      <w:r w:rsidR="00794EF2">
        <w:rPr>
          <w:rFonts w:cs="Arial"/>
          <w:bCs/>
          <w:lang w:val="en" w:eastAsia="en-AU"/>
        </w:rPr>
        <w:t>, contact details at</w:t>
      </w:r>
      <w:r w:rsidR="00F846B0">
        <w:rPr>
          <w:rFonts w:cs="Arial"/>
          <w:bCs/>
          <w:lang w:val="en" w:eastAsia="en-AU"/>
        </w:rPr>
        <w:t xml:space="preserve"> </w:t>
      </w:r>
      <w:hyperlink r:id="rId14" w:history="1">
        <w:r w:rsidR="00F846B0" w:rsidRPr="0054197C">
          <w:rPr>
            <w:rStyle w:val="Hyperlink"/>
            <w:rFonts w:cs="Arial"/>
            <w:bCs/>
            <w:lang w:val="en" w:eastAsia="en-AU"/>
          </w:rPr>
          <w:t>http://www.healthywa.wa.gov.au/publichealthunits</w:t>
        </w:r>
      </w:hyperlink>
      <w:bookmarkStart w:id="0" w:name="_GoBack"/>
      <w:bookmarkEnd w:id="0"/>
      <w:r w:rsidR="00F846B0">
        <w:rPr>
          <w:rFonts w:cs="Arial"/>
          <w:bCs/>
          <w:lang w:val="en" w:eastAsia="en-AU"/>
        </w:rPr>
        <w:t>.</w:t>
      </w:r>
      <w:r w:rsidRPr="00EA22A9">
        <w:rPr>
          <w:rFonts w:cs="Arial"/>
          <w:bCs/>
          <w:lang w:val="en" w:eastAsia="en-AU"/>
        </w:rPr>
        <w:t xml:space="preserve"> </w:t>
      </w:r>
    </w:p>
    <w:p w14:paraId="4563B2DC" w14:textId="3B1FBD9D" w:rsidR="003D44DF" w:rsidRPr="00EA22A9" w:rsidRDefault="00EA22A9" w:rsidP="00EA22A9">
      <w:pPr>
        <w:ind w:right="831"/>
        <w:jc w:val="both"/>
        <w:rPr>
          <w:rFonts w:cs="Arial"/>
          <w:bCs/>
          <w:lang w:val="en" w:eastAsia="en-AU"/>
        </w:rPr>
      </w:pPr>
      <w:r w:rsidRPr="00EA22A9">
        <w:rPr>
          <w:rFonts w:cs="Arial"/>
          <w:bCs/>
          <w:lang w:val="en" w:eastAsia="en-AU"/>
        </w:rPr>
        <w:tab/>
      </w:r>
      <w:r w:rsidRPr="00EA22A9">
        <w:rPr>
          <w:rFonts w:cs="Arial"/>
          <w:bCs/>
          <w:lang w:val="en" w:eastAsia="en-AU"/>
        </w:rPr>
        <w:tab/>
      </w:r>
      <w:r w:rsidRPr="00EA22A9">
        <w:rPr>
          <w:rFonts w:cs="Arial"/>
          <w:bCs/>
          <w:lang w:val="en" w:eastAsia="en-AU"/>
        </w:rPr>
        <w:tab/>
      </w:r>
      <w:r w:rsidRPr="00EA22A9">
        <w:rPr>
          <w:rFonts w:cs="Arial"/>
          <w:bCs/>
          <w:lang w:val="en" w:eastAsia="en-AU"/>
        </w:rPr>
        <w:tab/>
      </w:r>
    </w:p>
    <w:sectPr w:rsidR="003D44DF" w:rsidRPr="00EA22A9" w:rsidSect="00517C2E">
      <w:footerReference w:type="even" r:id="rId15"/>
      <w:footerReference w:type="default" r:id="rId16"/>
      <w:headerReference w:type="first" r:id="rId17"/>
      <w:footerReference w:type="first" r:id="rId18"/>
      <w:pgSz w:w="11900" w:h="16840"/>
      <w:pgMar w:top="1276" w:right="985" w:bottom="1418" w:left="1134" w:header="0" w:footer="1023"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13BF03" w14:textId="77777777" w:rsidR="00A65E89" w:rsidRDefault="00A65E89" w:rsidP="009E41EE">
      <w:r>
        <w:separator/>
      </w:r>
    </w:p>
  </w:endnote>
  <w:endnote w:type="continuationSeparator" w:id="0">
    <w:p w14:paraId="6E2D6203" w14:textId="77777777" w:rsidR="00A65E89" w:rsidRDefault="00A65E89" w:rsidP="009E4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HelveticaNeueLTPro-Md">
    <w:altName w:val="HelveticaNeueLT Pro 65 Md"/>
    <w:panose1 w:val="00000000000000000000"/>
    <w:charset w:val="4D"/>
    <w:family w:val="auto"/>
    <w:notTrueType/>
    <w:pitch w:val="default"/>
    <w:sig w:usb0="00000003" w:usb1="00000000" w:usb2="00000000" w:usb3="00000000" w:csb0="00000001" w:csb1="00000000"/>
  </w:font>
  <w:font w:name="HelveticaNeueLT Pro 55 Roman">
    <w:charset w:val="00"/>
    <w:family w:val="auto"/>
    <w:pitch w:val="variable"/>
    <w:sig w:usb0="800000AF" w:usb1="5000205B" w:usb2="00000000" w:usb3="00000000" w:csb0="0000009B"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8AE098" w14:textId="53CC3B5C" w:rsidR="00653E93" w:rsidRPr="00AF204B" w:rsidRDefault="00653E93" w:rsidP="00AF204B">
    <w:pPr>
      <w:pStyle w:val="Footer"/>
    </w:pPr>
    <w:r>
      <w:rPr>
        <w:noProof/>
        <w:sz w:val="16"/>
        <w:szCs w:val="16"/>
        <w:lang w:val="en-AU" w:eastAsia="en-AU"/>
      </w:rPr>
      <w:drawing>
        <wp:anchor distT="0" distB="0" distL="114300" distR="114300" simplePos="0" relativeHeight="251655680" behindDoc="1" locked="0" layoutInCell="1" allowOverlap="1" wp14:anchorId="6B98BD8D" wp14:editId="3ED5E41A">
          <wp:simplePos x="0" y="0"/>
          <wp:positionH relativeFrom="column">
            <wp:posOffset>-777240</wp:posOffset>
          </wp:positionH>
          <wp:positionV relativeFrom="paragraph">
            <wp:posOffset>1108075</wp:posOffset>
          </wp:positionV>
          <wp:extent cx="7666139" cy="421005"/>
          <wp:effectExtent l="0" t="0" r="5080" b="10795"/>
          <wp:wrapNone/>
          <wp:docPr id="24" name="Picture 24" descr="Macintosh HD:Users:newuser:Dropbox:***WORK FOLDER 2013:UPDATE WORD TEMPLATES JULY 2015:Pics and graphics:Values 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ewuser:Dropbox:***WORK FOLDER 2013:UPDATE WORD TEMPLATES JULY 2015:Pics and graphics:Values 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6139" cy="421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DC4118" w14:textId="77777777" w:rsidR="00653E93" w:rsidRPr="00FD6220" w:rsidRDefault="00653E93" w:rsidP="00653E93">
    <w:pPr>
      <w:pStyle w:val="Footer"/>
      <w:framePr w:w="11881" w:h="211" w:hRule="exact" w:wrap="around" w:vAnchor="text" w:hAnchor="page" w:x="27" w:y="460"/>
      <w:jc w:val="center"/>
      <w:rPr>
        <w:rStyle w:val="PageNumber"/>
        <w:sz w:val="16"/>
        <w:szCs w:val="16"/>
      </w:rPr>
    </w:pPr>
    <w:r w:rsidRPr="00FD6220">
      <w:rPr>
        <w:rStyle w:val="PageNumber"/>
        <w:sz w:val="16"/>
        <w:szCs w:val="16"/>
      </w:rPr>
      <w:fldChar w:fldCharType="begin"/>
    </w:r>
    <w:r w:rsidRPr="00FD6220">
      <w:rPr>
        <w:rStyle w:val="PageNumber"/>
        <w:sz w:val="16"/>
        <w:szCs w:val="16"/>
      </w:rPr>
      <w:instrText xml:space="preserve">PAGE  </w:instrText>
    </w:r>
    <w:r w:rsidRPr="00FD6220">
      <w:rPr>
        <w:rStyle w:val="PageNumber"/>
        <w:sz w:val="16"/>
        <w:szCs w:val="16"/>
      </w:rPr>
      <w:fldChar w:fldCharType="separate"/>
    </w:r>
    <w:r w:rsidR="0054197C">
      <w:rPr>
        <w:rStyle w:val="PageNumber"/>
        <w:noProof/>
        <w:sz w:val="16"/>
        <w:szCs w:val="16"/>
      </w:rPr>
      <w:t>2</w:t>
    </w:r>
    <w:r w:rsidRPr="00FD6220">
      <w:rPr>
        <w:rStyle w:val="PageNumber"/>
        <w:sz w:val="16"/>
        <w:szCs w:val="16"/>
      </w:rPr>
      <w:fldChar w:fldCharType="end"/>
    </w:r>
  </w:p>
  <w:p w14:paraId="427152D0" w14:textId="05FB102E" w:rsidR="00653E93" w:rsidRDefault="00653E93">
    <w:r>
      <w:rPr>
        <w:noProof/>
        <w:lang w:val="en-AU" w:eastAsia="en-AU"/>
      </w:rPr>
      <mc:AlternateContent>
        <mc:Choice Requires="wps">
          <w:drawing>
            <wp:anchor distT="0" distB="0" distL="114300" distR="114300" simplePos="0" relativeHeight="251658752" behindDoc="1" locked="0" layoutInCell="1" allowOverlap="1" wp14:anchorId="0BA87707" wp14:editId="58EAF180">
              <wp:simplePos x="0" y="0"/>
              <wp:positionH relativeFrom="column">
                <wp:posOffset>-567690</wp:posOffset>
              </wp:positionH>
              <wp:positionV relativeFrom="paragraph">
                <wp:posOffset>570865</wp:posOffset>
              </wp:positionV>
              <wp:extent cx="7564755" cy="403225"/>
              <wp:effectExtent l="0" t="0" r="0" b="3175"/>
              <wp:wrapThrough wrapText="bothSides">
                <wp:wrapPolygon edited="0">
                  <wp:start x="73" y="0"/>
                  <wp:lineTo x="73" y="20409"/>
                  <wp:lineTo x="21468" y="20409"/>
                  <wp:lineTo x="21468" y="0"/>
                  <wp:lineTo x="73"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4755" cy="4032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5571B6F" w14:textId="77777777" w:rsidR="00653E93" w:rsidRPr="006B0805" w:rsidRDefault="00653E93" w:rsidP="00653E93">
                          <w:pPr>
                            <w:pStyle w:val="BasicParagraph"/>
                            <w:suppressAutoHyphens/>
                            <w:jc w:val="center"/>
                            <w:rPr>
                              <w:sz w:val="15"/>
                              <w:szCs w:val="15"/>
                            </w:rPr>
                          </w:pPr>
                          <w:r w:rsidRPr="00CF405F">
                            <w:rPr>
                              <w:rFonts w:ascii="Arial" w:hAnsi="Arial" w:cs="HelveticaNeueLTPro-Md"/>
                              <w:b/>
                              <w:color w:val="1F497D"/>
                              <w:w w:val="90"/>
                              <w:sz w:val="19"/>
                              <w:szCs w:val="19"/>
                            </w:rPr>
                            <w:t>Healthier country communities through partnerships and innovation</w:t>
                          </w:r>
                          <w:r w:rsidRPr="00CF405F">
                            <w:rPr>
                              <w:rFonts w:ascii="Arial" w:hAnsi="Arial" w:cs="HelveticaNeueLTPro-Md"/>
                              <w:color w:val="808080"/>
                              <w:w w:val="90"/>
                              <w:sz w:val="19"/>
                              <w:szCs w:val="19"/>
                            </w:rPr>
                            <w:t xml:space="preserve">   </w:t>
                          </w:r>
                          <w:proofErr w:type="gramStart"/>
                          <w:r w:rsidRPr="00CF405F">
                            <w:rPr>
                              <w:rFonts w:ascii="Arial" w:hAnsi="Arial" w:cs="HelveticaNeueLTPro-Md"/>
                              <w:color w:val="808080"/>
                              <w:w w:val="90"/>
                              <w:sz w:val="19"/>
                              <w:szCs w:val="19"/>
                            </w:rPr>
                            <w:t xml:space="preserve">|  </w:t>
                          </w:r>
                          <w:r w:rsidRPr="00CF405F">
                            <w:rPr>
                              <w:rFonts w:ascii="Arial" w:hAnsi="Arial" w:cs="HelveticaNeueLT Pro 55 Roman"/>
                              <w:b/>
                              <w:color w:val="808080"/>
                              <w:w w:val="90"/>
                              <w:sz w:val="19"/>
                              <w:szCs w:val="19"/>
                            </w:rPr>
                            <w:t>Values</w:t>
                          </w:r>
                          <w:proofErr w:type="gramEnd"/>
                          <w:r w:rsidRPr="00CF405F">
                            <w:rPr>
                              <w:rFonts w:ascii="Arial" w:hAnsi="Arial" w:cs="HelveticaNeueLT Pro 55 Roman"/>
                              <w:b/>
                              <w:color w:val="808080"/>
                              <w:w w:val="90"/>
                              <w:sz w:val="19"/>
                              <w:szCs w:val="19"/>
                            </w:rPr>
                            <w:t xml:space="preserve">  </w:t>
                          </w:r>
                          <w:r w:rsidRPr="00CF405F">
                            <w:rPr>
                              <w:rFonts w:ascii="Arial" w:hAnsi="Arial" w:cs="HelveticaNeueLT Pro 55 Roman"/>
                              <w:color w:val="808080"/>
                              <w:w w:val="90"/>
                              <w:sz w:val="19"/>
                              <w:szCs w:val="19"/>
                            </w:rPr>
                            <w:t xml:space="preserve"> Community  |  Compassion  |  Quality  |  Integrity  |  Justice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4.7pt;margin-top:44.95pt;width:595.65pt;height:3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" filled="f" stroked="f">
              <v:path arrowok="t"/>
              <v:textbox>
                <w:txbxContent>
                  <w:p w14:paraId="15571B6F" w14:textId="77777777" w:rsidR="00653E93" w:rsidRPr="006B0805" w:rsidRDefault="00653E93" w:rsidP="00653E93">
                    <w:pPr>
                      <w:pStyle w:val="BasicParagraph"/>
                      <w:suppressAutoHyphens/>
                      <w:jc w:val="center"/>
                      <w:rPr>
                        <w:sz w:val="15"/>
                        <w:szCs w:val="15"/>
                      </w:rPr>
                    </w:pPr>
                    <w:r w:rsidRPr="00CF405F">
                      <w:rPr>
                        <w:rFonts w:ascii="Arial" w:hAnsi="Arial" w:cs="HelveticaNeueLTPro-Md"/>
                        <w:b/>
                        <w:color w:val="1F497D"/>
                        <w:w w:val="90"/>
                        <w:sz w:val="19"/>
                        <w:szCs w:val="19"/>
                      </w:rPr>
                      <w:t>Healthier country communities through partnerships and innovation</w:t>
                    </w:r>
                    <w:r w:rsidRPr="00CF405F">
                      <w:rPr>
                        <w:rFonts w:ascii="Arial" w:hAnsi="Arial" w:cs="HelveticaNeueLTPro-Md"/>
                        <w:color w:val="808080"/>
                        <w:w w:val="90"/>
                        <w:sz w:val="19"/>
                        <w:szCs w:val="19"/>
                      </w:rPr>
                      <w:t xml:space="preserve">   </w:t>
                    </w:r>
                    <w:proofErr w:type="gramStart"/>
                    <w:r w:rsidRPr="00CF405F">
                      <w:rPr>
                        <w:rFonts w:ascii="Arial" w:hAnsi="Arial" w:cs="HelveticaNeueLTPro-Md"/>
                        <w:color w:val="808080"/>
                        <w:w w:val="90"/>
                        <w:sz w:val="19"/>
                        <w:szCs w:val="19"/>
                      </w:rPr>
                      <w:t xml:space="preserve">|  </w:t>
                    </w:r>
                    <w:r w:rsidRPr="00CF405F">
                      <w:rPr>
                        <w:rFonts w:ascii="Arial" w:hAnsi="Arial" w:cs="HelveticaNeueLT Pro 55 Roman"/>
                        <w:b/>
                        <w:color w:val="808080"/>
                        <w:w w:val="90"/>
                        <w:sz w:val="19"/>
                        <w:szCs w:val="19"/>
                      </w:rPr>
                      <w:t>Values</w:t>
                    </w:r>
                    <w:proofErr w:type="gramEnd"/>
                    <w:r w:rsidRPr="00CF405F">
                      <w:rPr>
                        <w:rFonts w:ascii="Arial" w:hAnsi="Arial" w:cs="HelveticaNeueLT Pro 55 Roman"/>
                        <w:b/>
                        <w:color w:val="808080"/>
                        <w:w w:val="90"/>
                        <w:sz w:val="19"/>
                        <w:szCs w:val="19"/>
                      </w:rPr>
                      <w:t xml:space="preserve">  </w:t>
                    </w:r>
                    <w:r w:rsidRPr="00CF405F">
                      <w:rPr>
                        <w:rFonts w:ascii="Arial" w:hAnsi="Arial" w:cs="HelveticaNeueLT Pro 55 Roman"/>
                        <w:color w:val="808080"/>
                        <w:w w:val="90"/>
                        <w:sz w:val="19"/>
                        <w:szCs w:val="19"/>
                      </w:rPr>
                      <w:t xml:space="preserve"> Community  |  Compassion  |  Quality  |  Integrity  |  Justice</w:t>
                    </w:r>
                  </w:p>
                </w:txbxContent>
              </v:textbox>
              <w10:wrap type="through"/>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66B56" w14:textId="77777777" w:rsidR="00653E93" w:rsidRDefault="00653E93" w:rsidP="00517C2E">
    <w:pPr>
      <w:pStyle w:val="Footer"/>
      <w:framePr w:w="11881" w:h="321" w:hRule="exact" w:wrap="around" w:vAnchor="text" w:hAnchor="page" w:x="1" w:y="160"/>
      <w:jc w:val="center"/>
    </w:pPr>
    <w:r w:rsidRPr="00FD6220">
      <w:rPr>
        <w:rStyle w:val="PageNumber"/>
        <w:sz w:val="16"/>
        <w:szCs w:val="16"/>
      </w:rPr>
      <w:fldChar w:fldCharType="begin"/>
    </w:r>
    <w:r w:rsidRPr="00FD6220">
      <w:rPr>
        <w:rStyle w:val="PageNumber"/>
        <w:sz w:val="16"/>
        <w:szCs w:val="16"/>
      </w:rPr>
      <w:instrText xml:space="preserve">PAGE  </w:instrText>
    </w:r>
    <w:r w:rsidRPr="00FD6220">
      <w:rPr>
        <w:rStyle w:val="PageNumber"/>
        <w:sz w:val="16"/>
        <w:szCs w:val="16"/>
      </w:rPr>
      <w:fldChar w:fldCharType="separate"/>
    </w:r>
    <w:r w:rsidR="00283C2B">
      <w:rPr>
        <w:rStyle w:val="PageNumber"/>
        <w:noProof/>
        <w:sz w:val="16"/>
        <w:szCs w:val="16"/>
      </w:rPr>
      <w:t>3</w:t>
    </w:r>
    <w:r w:rsidRPr="00FD6220">
      <w:rPr>
        <w:rStyle w:val="PageNumber"/>
        <w:sz w:val="16"/>
        <w:szCs w:val="16"/>
      </w:rPr>
      <w:fldChar w:fldCharType="end"/>
    </w:r>
    <w:r>
      <w:rPr>
        <w:noProof/>
        <w:sz w:val="16"/>
        <w:szCs w:val="16"/>
        <w:lang w:val="en-AU" w:eastAsia="en-AU"/>
      </w:rPr>
      <w:drawing>
        <wp:anchor distT="0" distB="0" distL="114300" distR="114300" simplePos="0" relativeHeight="251654656" behindDoc="1" locked="0" layoutInCell="1" allowOverlap="1" wp14:anchorId="1E33603B" wp14:editId="3EA2C2E9">
          <wp:simplePos x="0" y="0"/>
          <wp:positionH relativeFrom="column">
            <wp:posOffset>-762000</wp:posOffset>
          </wp:positionH>
          <wp:positionV relativeFrom="paragraph">
            <wp:posOffset>901065</wp:posOffset>
          </wp:positionV>
          <wp:extent cx="7665720" cy="421005"/>
          <wp:effectExtent l="0" t="0" r="5080" b="10795"/>
          <wp:wrapNone/>
          <wp:docPr id="25" name="Picture 25" descr="Macintosh HD:Users:newuser:Dropbox:***WORK FOLDER 2013:UPDATE WORD TEMPLATES JULY 2015:Pics and graphics:Values 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ewuser:Dropbox:***WORK FOLDER 2013:UPDATE WORD TEMPLATES JULY 2015:Pics and graphics:Values 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5720" cy="421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3743B5" w14:textId="0CB0BE54" w:rsidR="00653E93" w:rsidRDefault="00653E93">
    <w:pPr>
      <w:pStyle w:val="Footer"/>
    </w:pPr>
    <w:r>
      <w:rPr>
        <w:noProof/>
        <w:sz w:val="16"/>
        <w:szCs w:val="16"/>
        <w:lang w:val="en-AU" w:eastAsia="en-AU"/>
      </w:rPr>
      <w:drawing>
        <wp:anchor distT="0" distB="0" distL="114300" distR="114300" simplePos="0" relativeHeight="251656704" behindDoc="1" locked="0" layoutInCell="1" allowOverlap="1" wp14:anchorId="73824832" wp14:editId="1CA1D71E">
          <wp:simplePos x="0" y="0"/>
          <wp:positionH relativeFrom="column">
            <wp:posOffset>-789940</wp:posOffset>
          </wp:positionH>
          <wp:positionV relativeFrom="paragraph">
            <wp:posOffset>278765</wp:posOffset>
          </wp:positionV>
          <wp:extent cx="7665720" cy="421005"/>
          <wp:effectExtent l="0" t="0" r="5080" b="10795"/>
          <wp:wrapNone/>
          <wp:docPr id="29" name="Picture 29" descr="Macintosh HD:Users:newuser:Dropbox:***WORK FOLDER 2013:UPDATE WORD TEMPLATES JULY 2015:Pics and graphics:Values 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ewuser:Dropbox:***WORK FOLDER 2013:UPDATE WORD TEMPLATES JULY 2015:Pics and graphics:Values li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5720" cy="4210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68A0B" w14:textId="77777777" w:rsidR="00653E93" w:rsidRPr="00FD6220" w:rsidRDefault="00653E93" w:rsidP="00653E93">
    <w:pPr>
      <w:pStyle w:val="Footer"/>
      <w:framePr w:w="11881" w:h="261" w:hRule="exact" w:wrap="around" w:vAnchor="text" w:hAnchor="page" w:x="21" w:y="392"/>
      <w:jc w:val="center"/>
      <w:rPr>
        <w:rStyle w:val="PageNumber"/>
        <w:sz w:val="16"/>
        <w:szCs w:val="16"/>
      </w:rPr>
    </w:pPr>
    <w:r w:rsidRPr="00FD6220">
      <w:rPr>
        <w:rStyle w:val="PageNumber"/>
        <w:sz w:val="16"/>
        <w:szCs w:val="16"/>
      </w:rPr>
      <w:fldChar w:fldCharType="begin"/>
    </w:r>
    <w:r w:rsidRPr="00FD6220">
      <w:rPr>
        <w:rStyle w:val="PageNumber"/>
        <w:sz w:val="16"/>
        <w:szCs w:val="16"/>
      </w:rPr>
      <w:instrText xml:space="preserve">PAGE  </w:instrText>
    </w:r>
    <w:r w:rsidRPr="00FD6220">
      <w:rPr>
        <w:rStyle w:val="PageNumber"/>
        <w:sz w:val="16"/>
        <w:szCs w:val="16"/>
      </w:rPr>
      <w:fldChar w:fldCharType="separate"/>
    </w:r>
    <w:r w:rsidR="0054197C">
      <w:rPr>
        <w:rStyle w:val="PageNumber"/>
        <w:noProof/>
        <w:sz w:val="16"/>
        <w:szCs w:val="16"/>
      </w:rPr>
      <w:t>1</w:t>
    </w:r>
    <w:r w:rsidRPr="00FD6220">
      <w:rPr>
        <w:rStyle w:val="PageNumber"/>
        <w:sz w:val="16"/>
        <w:szCs w:val="16"/>
      </w:rPr>
      <w:fldChar w:fldCharType="end"/>
    </w:r>
  </w:p>
  <w:p w14:paraId="586FB4EE" w14:textId="3AFA0C28" w:rsidR="00653E93" w:rsidRPr="00E1710A" w:rsidRDefault="00653E93" w:rsidP="00E1710A">
    <w:pPr>
      <w:pStyle w:val="BasicParagraph"/>
      <w:tabs>
        <w:tab w:val="left" w:pos="16302"/>
      </w:tabs>
      <w:suppressAutoHyphens/>
      <w:rPr>
        <w:rFonts w:ascii="Arial" w:hAnsi="Arial"/>
        <w:sz w:val="16"/>
        <w:szCs w:val="16"/>
      </w:rPr>
    </w:pPr>
    <w:r>
      <w:rPr>
        <w:noProof/>
        <w:lang w:val="en-AU" w:eastAsia="en-AU"/>
      </w:rPr>
      <mc:AlternateContent>
        <mc:Choice Requires="wps">
          <w:drawing>
            <wp:anchor distT="0" distB="0" distL="114300" distR="114300" simplePos="0" relativeHeight="251657728" behindDoc="1" locked="0" layoutInCell="1" allowOverlap="1" wp14:anchorId="25B13712" wp14:editId="1A9A6D88">
              <wp:simplePos x="0" y="0"/>
              <wp:positionH relativeFrom="column">
                <wp:posOffset>-720090</wp:posOffset>
              </wp:positionH>
              <wp:positionV relativeFrom="paragraph">
                <wp:posOffset>383540</wp:posOffset>
              </wp:positionV>
              <wp:extent cx="7564755" cy="403225"/>
              <wp:effectExtent l="0" t="0" r="0" b="3175"/>
              <wp:wrapThrough wrapText="bothSides">
                <wp:wrapPolygon edited="0">
                  <wp:start x="73" y="0"/>
                  <wp:lineTo x="73" y="20409"/>
                  <wp:lineTo x="21468" y="20409"/>
                  <wp:lineTo x="21468" y="0"/>
                  <wp:lineTo x="73" y="0"/>
                </wp:wrapPolygon>
              </wp:wrapThrough>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4755" cy="40322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6DEF952" w14:textId="77777777" w:rsidR="00653E93" w:rsidRPr="006B0805" w:rsidRDefault="00653E93" w:rsidP="00653E93">
                          <w:pPr>
                            <w:pStyle w:val="BasicParagraph"/>
                            <w:suppressAutoHyphens/>
                            <w:jc w:val="center"/>
                            <w:rPr>
                              <w:sz w:val="15"/>
                              <w:szCs w:val="15"/>
                            </w:rPr>
                          </w:pPr>
                          <w:r w:rsidRPr="00CF405F">
                            <w:rPr>
                              <w:rFonts w:ascii="Arial" w:hAnsi="Arial" w:cs="HelveticaNeueLTPro-Md"/>
                              <w:b/>
                              <w:color w:val="1F497D"/>
                              <w:w w:val="90"/>
                              <w:sz w:val="19"/>
                              <w:szCs w:val="19"/>
                            </w:rPr>
                            <w:t>Healthier country communities through partnerships and innovation</w:t>
                          </w:r>
                          <w:r w:rsidRPr="00CF405F">
                            <w:rPr>
                              <w:rFonts w:ascii="Arial" w:hAnsi="Arial" w:cs="HelveticaNeueLTPro-Md"/>
                              <w:color w:val="808080"/>
                              <w:w w:val="90"/>
                              <w:sz w:val="19"/>
                              <w:szCs w:val="19"/>
                            </w:rPr>
                            <w:t xml:space="preserve">   </w:t>
                          </w:r>
                          <w:proofErr w:type="gramStart"/>
                          <w:r w:rsidRPr="00CF405F">
                            <w:rPr>
                              <w:rFonts w:ascii="Arial" w:hAnsi="Arial" w:cs="HelveticaNeueLTPro-Md"/>
                              <w:color w:val="808080"/>
                              <w:w w:val="90"/>
                              <w:sz w:val="19"/>
                              <w:szCs w:val="19"/>
                            </w:rPr>
                            <w:t xml:space="preserve">|  </w:t>
                          </w:r>
                          <w:r w:rsidRPr="00CF405F">
                            <w:rPr>
                              <w:rFonts w:ascii="Arial" w:hAnsi="Arial" w:cs="HelveticaNeueLT Pro 55 Roman"/>
                              <w:b/>
                              <w:color w:val="808080"/>
                              <w:w w:val="90"/>
                              <w:sz w:val="19"/>
                              <w:szCs w:val="19"/>
                            </w:rPr>
                            <w:t>Values</w:t>
                          </w:r>
                          <w:proofErr w:type="gramEnd"/>
                          <w:r w:rsidRPr="00CF405F">
                            <w:rPr>
                              <w:rFonts w:ascii="Arial" w:hAnsi="Arial" w:cs="HelveticaNeueLT Pro 55 Roman"/>
                              <w:b/>
                              <w:color w:val="808080"/>
                              <w:w w:val="90"/>
                              <w:sz w:val="19"/>
                              <w:szCs w:val="19"/>
                            </w:rPr>
                            <w:t xml:space="preserve">  </w:t>
                          </w:r>
                          <w:r w:rsidRPr="00CF405F">
                            <w:rPr>
                              <w:rFonts w:ascii="Arial" w:hAnsi="Arial" w:cs="HelveticaNeueLT Pro 55 Roman"/>
                              <w:color w:val="808080"/>
                              <w:w w:val="90"/>
                              <w:sz w:val="19"/>
                              <w:szCs w:val="19"/>
                            </w:rPr>
                            <w:t xml:space="preserve"> Community  |  Compassion  |  Quality  |  Integrity  |  Justice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 o:spid="_x0000_s1027" type="#_x0000_t202" style="position:absolute;margin-left:-56.7pt;margin-top:30.2pt;width:595.65pt;height:3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" filled="f" stroked="f">
              <v:path arrowok="t"/>
              <v:textbox>
                <w:txbxContent>
                  <w:p w14:paraId="46DEF952" w14:textId="77777777" w:rsidR="00653E93" w:rsidRPr="006B0805" w:rsidRDefault="00653E93" w:rsidP="00653E93">
                    <w:pPr>
                      <w:pStyle w:val="BasicParagraph"/>
                      <w:suppressAutoHyphens/>
                      <w:jc w:val="center"/>
                      <w:rPr>
                        <w:sz w:val="15"/>
                        <w:szCs w:val="15"/>
                      </w:rPr>
                    </w:pPr>
                    <w:r w:rsidRPr="00CF405F">
                      <w:rPr>
                        <w:rFonts w:ascii="Arial" w:hAnsi="Arial" w:cs="HelveticaNeueLTPro-Md"/>
                        <w:b/>
                        <w:color w:val="1F497D"/>
                        <w:w w:val="90"/>
                        <w:sz w:val="19"/>
                        <w:szCs w:val="19"/>
                      </w:rPr>
                      <w:t>Healthier country communities through partnerships and innovation</w:t>
                    </w:r>
                    <w:r w:rsidRPr="00CF405F">
                      <w:rPr>
                        <w:rFonts w:ascii="Arial" w:hAnsi="Arial" w:cs="HelveticaNeueLTPro-Md"/>
                        <w:color w:val="808080"/>
                        <w:w w:val="90"/>
                        <w:sz w:val="19"/>
                        <w:szCs w:val="19"/>
                      </w:rPr>
                      <w:t xml:space="preserve">   </w:t>
                    </w:r>
                    <w:proofErr w:type="gramStart"/>
                    <w:r w:rsidRPr="00CF405F">
                      <w:rPr>
                        <w:rFonts w:ascii="Arial" w:hAnsi="Arial" w:cs="HelveticaNeueLTPro-Md"/>
                        <w:color w:val="808080"/>
                        <w:w w:val="90"/>
                        <w:sz w:val="19"/>
                        <w:szCs w:val="19"/>
                      </w:rPr>
                      <w:t xml:space="preserve">|  </w:t>
                    </w:r>
                    <w:r w:rsidRPr="00CF405F">
                      <w:rPr>
                        <w:rFonts w:ascii="Arial" w:hAnsi="Arial" w:cs="HelveticaNeueLT Pro 55 Roman"/>
                        <w:b/>
                        <w:color w:val="808080"/>
                        <w:w w:val="90"/>
                        <w:sz w:val="19"/>
                        <w:szCs w:val="19"/>
                      </w:rPr>
                      <w:t>Values</w:t>
                    </w:r>
                    <w:proofErr w:type="gramEnd"/>
                    <w:r w:rsidRPr="00CF405F">
                      <w:rPr>
                        <w:rFonts w:ascii="Arial" w:hAnsi="Arial" w:cs="HelveticaNeueLT Pro 55 Roman"/>
                        <w:b/>
                        <w:color w:val="808080"/>
                        <w:w w:val="90"/>
                        <w:sz w:val="19"/>
                        <w:szCs w:val="19"/>
                      </w:rPr>
                      <w:t xml:space="preserve">  </w:t>
                    </w:r>
                    <w:r w:rsidRPr="00CF405F">
                      <w:rPr>
                        <w:rFonts w:ascii="Arial" w:hAnsi="Arial" w:cs="HelveticaNeueLT Pro 55 Roman"/>
                        <w:color w:val="808080"/>
                        <w:w w:val="90"/>
                        <w:sz w:val="19"/>
                        <w:szCs w:val="19"/>
                      </w:rPr>
                      <w:t xml:space="preserve"> Community  |  Compassion  |  Quality  |  Integrity  |  Justice</w:t>
                    </w:r>
                  </w:p>
                </w:txbxContent>
              </v:textbox>
              <w10:wrap type="through"/>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B18FFE" w14:textId="77777777" w:rsidR="00A65E89" w:rsidRDefault="00A65E89" w:rsidP="009E41EE">
      <w:r>
        <w:separator/>
      </w:r>
    </w:p>
  </w:footnote>
  <w:footnote w:type="continuationSeparator" w:id="0">
    <w:p w14:paraId="5524EFB3" w14:textId="77777777" w:rsidR="00A65E89" w:rsidRDefault="00A65E89" w:rsidP="009E41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E85E8" w14:textId="063C549C" w:rsidR="00653E93" w:rsidRDefault="00653E93" w:rsidP="009E41EE">
    <w:pPr>
      <w:pStyle w:val="Header"/>
      <w:ind w:left="-1560"/>
    </w:pPr>
    <w:r w:rsidRPr="009E41EE">
      <w:rPr>
        <w:noProof/>
        <w:lang w:eastAsia="en-US"/>
      </w:rPr>
      <w:t xml:space="preserve"> </w:t>
    </w:r>
  </w:p>
  <w:p w14:paraId="58067420" w14:textId="5E98911A" w:rsidR="00653E93" w:rsidRDefault="0054197C">
    <w:r>
      <w:rPr>
        <w:noProof/>
        <w:lang w:eastAsia="en-US"/>
      </w:rPr>
      <w:pict w14:anchorId="48613F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5" type="#_x0000_t75" style="position:absolute;margin-left:-56.7pt;margin-top:-6.05pt;width:644.4pt;height:84.7pt;z-index:-251655680;mso-wrap-edited:f;mso-position-horizontal-relative:margin;mso-position-vertical-relative:margin" wrapcoords="-39 0 -39 20769 21600 20769 21600 0 -39 0">
          <v:imagedata r:id="rId1" o:title="WACHS slash"/>
          <w10:wrap anchorx="margin" anchory="margin"/>
        </v:shape>
      </w:pict>
    </w:r>
    <w:r w:rsidR="00D50BB9">
      <w:rPr>
        <w:noProof/>
        <w:lang w:val="en-AU" w:eastAsia="en-AU"/>
      </w:rPr>
      <w:drawing>
        <wp:anchor distT="0" distB="0" distL="114300" distR="114300" simplePos="0" relativeHeight="251659776" behindDoc="0" locked="0" layoutInCell="1" allowOverlap="1" wp14:anchorId="1E0375A7" wp14:editId="05C54E08">
          <wp:simplePos x="0" y="0"/>
          <wp:positionH relativeFrom="column">
            <wp:posOffset>-300355</wp:posOffset>
          </wp:positionH>
          <wp:positionV relativeFrom="paragraph">
            <wp:posOffset>224155</wp:posOffset>
          </wp:positionV>
          <wp:extent cx="2643505" cy="479425"/>
          <wp:effectExtent l="0" t="0" r="0" b="3175"/>
          <wp:wrapNone/>
          <wp:docPr id="7" name="Picture 7" descr="Macintosh HD:Users:newuser:Dropbox:***WORK FOLDER 2013:WACHS Logos Jul2013:WACHS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newuser:Dropbox:***WORK FOLDER 2013:WACHS Logos Jul2013:WACHS logo.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43505" cy="479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D641F"/>
    <w:multiLevelType w:val="hybridMultilevel"/>
    <w:tmpl w:val="7A34C3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944064E"/>
    <w:multiLevelType w:val="hybridMultilevel"/>
    <w:tmpl w:val="A9BE5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BBA635B"/>
    <w:multiLevelType w:val="hybridMultilevel"/>
    <w:tmpl w:val="C2AE20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evenAndOddHeader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6"/>
    <o:shapelayout v:ext="edit">
      <o:idmap v:ext="edit" data="2"/>
    </o:shapelayout>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ublishingViewTables" w:val="0"/>
  </w:docVars>
  <w:rsids>
    <w:rsidRoot w:val="009E41EE"/>
    <w:rsid w:val="00010178"/>
    <w:rsid w:val="0005400A"/>
    <w:rsid w:val="000630FB"/>
    <w:rsid w:val="000B7436"/>
    <w:rsid w:val="001D7380"/>
    <w:rsid w:val="00283C2B"/>
    <w:rsid w:val="00366805"/>
    <w:rsid w:val="003D44DF"/>
    <w:rsid w:val="004142CF"/>
    <w:rsid w:val="004A51EB"/>
    <w:rsid w:val="004D00B0"/>
    <w:rsid w:val="005006B8"/>
    <w:rsid w:val="00517C2E"/>
    <w:rsid w:val="00524D56"/>
    <w:rsid w:val="00532087"/>
    <w:rsid w:val="0054197C"/>
    <w:rsid w:val="0064547F"/>
    <w:rsid w:val="00653E93"/>
    <w:rsid w:val="006B0805"/>
    <w:rsid w:val="006E2C59"/>
    <w:rsid w:val="00707FD6"/>
    <w:rsid w:val="00794EF2"/>
    <w:rsid w:val="007A2689"/>
    <w:rsid w:val="008A2E51"/>
    <w:rsid w:val="009E41EE"/>
    <w:rsid w:val="009F3D79"/>
    <w:rsid w:val="00A1438C"/>
    <w:rsid w:val="00A65E89"/>
    <w:rsid w:val="00AB3F6B"/>
    <w:rsid w:val="00AB5D2A"/>
    <w:rsid w:val="00AC2FF4"/>
    <w:rsid w:val="00AF204B"/>
    <w:rsid w:val="00B962F6"/>
    <w:rsid w:val="00C02347"/>
    <w:rsid w:val="00C268B0"/>
    <w:rsid w:val="00C9609B"/>
    <w:rsid w:val="00CF71D3"/>
    <w:rsid w:val="00D50BB9"/>
    <w:rsid w:val="00D80A07"/>
    <w:rsid w:val="00DF1743"/>
    <w:rsid w:val="00DF757B"/>
    <w:rsid w:val="00E1710A"/>
    <w:rsid w:val="00E70C2C"/>
    <w:rsid w:val="00EA22A9"/>
    <w:rsid w:val="00ED7971"/>
    <w:rsid w:val="00F577CB"/>
    <w:rsid w:val="00F72BB7"/>
    <w:rsid w:val="00F846B0"/>
    <w:rsid w:val="00FB6101"/>
    <w:rsid w:val="00FD622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oNotEmbedSmartTags/>
  <w:decimalSymbol w:val="."/>
  <w:listSeparator w:val=","/>
  <w14:docId w14:val="7B751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7B"/>
    <w:rPr>
      <w:rFonts w:ascii="Arial" w:hAnsi="Arial"/>
      <w:sz w:val="24"/>
      <w:szCs w:val="24"/>
    </w:rPr>
  </w:style>
  <w:style w:type="paragraph" w:styleId="Heading1">
    <w:name w:val="heading 1"/>
    <w:basedOn w:val="Normal"/>
    <w:next w:val="Normal"/>
    <w:link w:val="Heading1Char"/>
    <w:uiPriority w:val="9"/>
    <w:qFormat/>
    <w:rsid w:val="00DF757B"/>
    <w:pPr>
      <w:keepNext/>
      <w:keepLines/>
      <w:spacing w:before="480"/>
      <w:outlineLvl w:val="0"/>
    </w:pPr>
    <w:rPr>
      <w:rFonts w:eastAsiaTheme="majorEastAsia" w:cstheme="majorBidi"/>
      <w:b/>
      <w:bCs/>
      <w:color w:val="345A8A" w:themeColor="accent1" w:themeShade="B5"/>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1EE"/>
    <w:pPr>
      <w:tabs>
        <w:tab w:val="center" w:pos="4320"/>
        <w:tab w:val="right" w:pos="8640"/>
      </w:tabs>
    </w:pPr>
  </w:style>
  <w:style w:type="character" w:customStyle="1" w:styleId="HeaderChar">
    <w:name w:val="Header Char"/>
    <w:basedOn w:val="DefaultParagraphFont"/>
    <w:link w:val="Header"/>
    <w:uiPriority w:val="99"/>
    <w:rsid w:val="009E41EE"/>
    <w:rPr>
      <w:sz w:val="24"/>
      <w:szCs w:val="24"/>
    </w:rPr>
  </w:style>
  <w:style w:type="paragraph" w:styleId="Footer">
    <w:name w:val="footer"/>
    <w:basedOn w:val="Normal"/>
    <w:link w:val="FooterChar"/>
    <w:uiPriority w:val="99"/>
    <w:unhideWhenUsed/>
    <w:rsid w:val="009E41EE"/>
    <w:pPr>
      <w:tabs>
        <w:tab w:val="center" w:pos="4320"/>
        <w:tab w:val="right" w:pos="8640"/>
      </w:tabs>
    </w:pPr>
  </w:style>
  <w:style w:type="character" w:customStyle="1" w:styleId="FooterChar">
    <w:name w:val="Footer Char"/>
    <w:basedOn w:val="DefaultParagraphFont"/>
    <w:link w:val="Footer"/>
    <w:uiPriority w:val="99"/>
    <w:rsid w:val="009E41EE"/>
    <w:rPr>
      <w:sz w:val="24"/>
      <w:szCs w:val="24"/>
    </w:rPr>
  </w:style>
  <w:style w:type="paragraph" w:styleId="BalloonText">
    <w:name w:val="Balloon Text"/>
    <w:basedOn w:val="Normal"/>
    <w:link w:val="BalloonTextChar"/>
    <w:uiPriority w:val="99"/>
    <w:semiHidden/>
    <w:unhideWhenUsed/>
    <w:rsid w:val="009E41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1EE"/>
    <w:rPr>
      <w:rFonts w:ascii="Lucida Grande" w:hAnsi="Lucida Grande" w:cs="Lucida Grande"/>
      <w:sz w:val="18"/>
      <w:szCs w:val="18"/>
    </w:rPr>
  </w:style>
  <w:style w:type="paragraph" w:customStyle="1" w:styleId="BasicParagraph">
    <w:name w:val="[Basic Paragraph]"/>
    <w:basedOn w:val="Normal"/>
    <w:uiPriority w:val="99"/>
    <w:rsid w:val="009E41EE"/>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table" w:styleId="LightShading-Accent1">
    <w:name w:val="Light Shading Accent 1"/>
    <w:basedOn w:val="TableNormal"/>
    <w:uiPriority w:val="60"/>
    <w:rsid w:val="00F577CB"/>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DF757B"/>
    <w:rPr>
      <w:rFonts w:ascii="Arial" w:eastAsiaTheme="majorEastAsia" w:hAnsi="Arial" w:cstheme="majorBidi"/>
      <w:b/>
      <w:bCs/>
      <w:color w:val="345A8A" w:themeColor="accent1" w:themeShade="B5"/>
      <w:sz w:val="36"/>
      <w:szCs w:val="32"/>
    </w:rPr>
  </w:style>
  <w:style w:type="character" w:styleId="PageNumber">
    <w:name w:val="page number"/>
    <w:basedOn w:val="DefaultParagraphFont"/>
    <w:uiPriority w:val="99"/>
    <w:semiHidden/>
    <w:unhideWhenUsed/>
    <w:rsid w:val="00AC2FF4"/>
  </w:style>
  <w:style w:type="paragraph" w:styleId="NoSpacing">
    <w:name w:val="No Spacing"/>
    <w:link w:val="NoSpacingChar"/>
    <w:qFormat/>
    <w:rsid w:val="00AC2FF4"/>
    <w:rPr>
      <w:rFonts w:ascii="PMingLiU" w:hAnsi="PMingLiU"/>
      <w:sz w:val="22"/>
      <w:szCs w:val="22"/>
      <w:lang w:eastAsia="en-US"/>
    </w:rPr>
  </w:style>
  <w:style w:type="character" w:customStyle="1" w:styleId="NoSpacingChar">
    <w:name w:val="No Spacing Char"/>
    <w:basedOn w:val="DefaultParagraphFont"/>
    <w:link w:val="NoSpacing"/>
    <w:rsid w:val="00AC2FF4"/>
    <w:rPr>
      <w:rFonts w:ascii="PMingLiU" w:hAnsi="PMingLiU"/>
      <w:sz w:val="22"/>
      <w:szCs w:val="22"/>
      <w:lang w:eastAsia="en-US"/>
    </w:rPr>
  </w:style>
  <w:style w:type="character" w:styleId="Hyperlink">
    <w:name w:val="Hyperlink"/>
    <w:rsid w:val="00EA22A9"/>
    <w:rPr>
      <w:color w:val="0000FF"/>
      <w:u w:val="single"/>
    </w:rPr>
  </w:style>
  <w:style w:type="paragraph" w:styleId="ListParagraph">
    <w:name w:val="List Paragraph"/>
    <w:basedOn w:val="Normal"/>
    <w:uiPriority w:val="34"/>
    <w:qFormat/>
    <w:rsid w:val="00D80A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57B"/>
    <w:rPr>
      <w:rFonts w:ascii="Arial" w:hAnsi="Arial"/>
      <w:sz w:val="24"/>
      <w:szCs w:val="24"/>
    </w:rPr>
  </w:style>
  <w:style w:type="paragraph" w:styleId="Heading1">
    <w:name w:val="heading 1"/>
    <w:basedOn w:val="Normal"/>
    <w:next w:val="Normal"/>
    <w:link w:val="Heading1Char"/>
    <w:uiPriority w:val="9"/>
    <w:qFormat/>
    <w:rsid w:val="00DF757B"/>
    <w:pPr>
      <w:keepNext/>
      <w:keepLines/>
      <w:spacing w:before="480"/>
      <w:outlineLvl w:val="0"/>
    </w:pPr>
    <w:rPr>
      <w:rFonts w:eastAsiaTheme="majorEastAsia" w:cstheme="majorBidi"/>
      <w:b/>
      <w:bCs/>
      <w:color w:val="345A8A" w:themeColor="accent1" w:themeShade="B5"/>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1EE"/>
    <w:pPr>
      <w:tabs>
        <w:tab w:val="center" w:pos="4320"/>
        <w:tab w:val="right" w:pos="8640"/>
      </w:tabs>
    </w:pPr>
  </w:style>
  <w:style w:type="character" w:customStyle="1" w:styleId="HeaderChar">
    <w:name w:val="Header Char"/>
    <w:basedOn w:val="DefaultParagraphFont"/>
    <w:link w:val="Header"/>
    <w:uiPriority w:val="99"/>
    <w:rsid w:val="009E41EE"/>
    <w:rPr>
      <w:sz w:val="24"/>
      <w:szCs w:val="24"/>
    </w:rPr>
  </w:style>
  <w:style w:type="paragraph" w:styleId="Footer">
    <w:name w:val="footer"/>
    <w:basedOn w:val="Normal"/>
    <w:link w:val="FooterChar"/>
    <w:uiPriority w:val="99"/>
    <w:unhideWhenUsed/>
    <w:rsid w:val="009E41EE"/>
    <w:pPr>
      <w:tabs>
        <w:tab w:val="center" w:pos="4320"/>
        <w:tab w:val="right" w:pos="8640"/>
      </w:tabs>
    </w:pPr>
  </w:style>
  <w:style w:type="character" w:customStyle="1" w:styleId="FooterChar">
    <w:name w:val="Footer Char"/>
    <w:basedOn w:val="DefaultParagraphFont"/>
    <w:link w:val="Footer"/>
    <w:uiPriority w:val="99"/>
    <w:rsid w:val="009E41EE"/>
    <w:rPr>
      <w:sz w:val="24"/>
      <w:szCs w:val="24"/>
    </w:rPr>
  </w:style>
  <w:style w:type="paragraph" w:styleId="BalloonText">
    <w:name w:val="Balloon Text"/>
    <w:basedOn w:val="Normal"/>
    <w:link w:val="BalloonTextChar"/>
    <w:uiPriority w:val="99"/>
    <w:semiHidden/>
    <w:unhideWhenUsed/>
    <w:rsid w:val="009E41E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1EE"/>
    <w:rPr>
      <w:rFonts w:ascii="Lucida Grande" w:hAnsi="Lucida Grande" w:cs="Lucida Grande"/>
      <w:sz w:val="18"/>
      <w:szCs w:val="18"/>
    </w:rPr>
  </w:style>
  <w:style w:type="paragraph" w:customStyle="1" w:styleId="BasicParagraph">
    <w:name w:val="[Basic Paragraph]"/>
    <w:basedOn w:val="Normal"/>
    <w:uiPriority w:val="99"/>
    <w:rsid w:val="009E41EE"/>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table" w:styleId="LightShading-Accent1">
    <w:name w:val="Light Shading Accent 1"/>
    <w:basedOn w:val="TableNormal"/>
    <w:uiPriority w:val="60"/>
    <w:rsid w:val="00F577CB"/>
    <w:rPr>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eading1Char">
    <w:name w:val="Heading 1 Char"/>
    <w:basedOn w:val="DefaultParagraphFont"/>
    <w:link w:val="Heading1"/>
    <w:uiPriority w:val="9"/>
    <w:rsid w:val="00DF757B"/>
    <w:rPr>
      <w:rFonts w:ascii="Arial" w:eastAsiaTheme="majorEastAsia" w:hAnsi="Arial" w:cstheme="majorBidi"/>
      <w:b/>
      <w:bCs/>
      <w:color w:val="345A8A" w:themeColor="accent1" w:themeShade="B5"/>
      <w:sz w:val="36"/>
      <w:szCs w:val="32"/>
    </w:rPr>
  </w:style>
  <w:style w:type="character" w:styleId="PageNumber">
    <w:name w:val="page number"/>
    <w:basedOn w:val="DefaultParagraphFont"/>
    <w:uiPriority w:val="99"/>
    <w:semiHidden/>
    <w:unhideWhenUsed/>
    <w:rsid w:val="00AC2FF4"/>
  </w:style>
  <w:style w:type="paragraph" w:styleId="NoSpacing">
    <w:name w:val="No Spacing"/>
    <w:link w:val="NoSpacingChar"/>
    <w:qFormat/>
    <w:rsid w:val="00AC2FF4"/>
    <w:rPr>
      <w:rFonts w:ascii="PMingLiU" w:hAnsi="PMingLiU"/>
      <w:sz w:val="22"/>
      <w:szCs w:val="22"/>
      <w:lang w:eastAsia="en-US"/>
    </w:rPr>
  </w:style>
  <w:style w:type="character" w:customStyle="1" w:styleId="NoSpacingChar">
    <w:name w:val="No Spacing Char"/>
    <w:basedOn w:val="DefaultParagraphFont"/>
    <w:link w:val="NoSpacing"/>
    <w:rsid w:val="00AC2FF4"/>
    <w:rPr>
      <w:rFonts w:ascii="PMingLiU" w:hAnsi="PMingLiU"/>
      <w:sz w:val="22"/>
      <w:szCs w:val="22"/>
      <w:lang w:eastAsia="en-US"/>
    </w:rPr>
  </w:style>
  <w:style w:type="character" w:styleId="Hyperlink">
    <w:name w:val="Hyperlink"/>
    <w:rsid w:val="00EA22A9"/>
    <w:rPr>
      <w:color w:val="0000FF"/>
      <w:u w:val="single"/>
    </w:rPr>
  </w:style>
  <w:style w:type="paragraph" w:styleId="ListParagraph">
    <w:name w:val="List Paragraph"/>
    <w:basedOn w:val="Normal"/>
    <w:uiPriority w:val="34"/>
    <w:qFormat/>
    <w:rsid w:val="00D80A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ealthywa.wa.gov.au/Articles/J_M/Meningococcal-disease"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healthywa.wa.gov.au/~/media/Files/HealthyWA/New/2017%20Meningococcal%20disease%20fact%20sheet%20-%20Copy.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ealthywa.wa.gov.au/Articles/J_M/Meningococcal-diseas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health.gov.au/internet/main/publishing.nsf/Content/cdna-song-IMD.ht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avss.health.wa.gov.au/" TargetMode="External"/><Relationship Id="rId14" Type="http://schemas.openxmlformats.org/officeDocument/2006/relationships/hyperlink" Target="http://www.healthywa.wa.gov.au/publichealthunit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14475-83E6-4072-9705-B7EF599E3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Type document name here</vt:lpstr>
    </vt:vector>
  </TitlesOfParts>
  <Company>WA Health</Company>
  <LinksUpToDate>false</LinksUpToDate>
  <CharactersWithSpaces>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document name here</dc:title>
  <dc:creator>Cathi Zanevra</dc:creator>
  <cp:lastModifiedBy>Gibbs, Robyn</cp:lastModifiedBy>
  <cp:revision>2</cp:revision>
  <cp:lastPrinted>2015-08-25T01:02:00Z</cp:lastPrinted>
  <dcterms:created xsi:type="dcterms:W3CDTF">2017-10-24T02:32:00Z</dcterms:created>
  <dcterms:modified xsi:type="dcterms:W3CDTF">2017-10-24T02:32:00Z</dcterms:modified>
</cp:coreProperties>
</file>